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60538DDC">
      <w:pPr>
        <w:pStyle w:val="style0"/>
        <w:spacing w:before="162" w:lineRule="auto" w:line="230"/>
        <w:ind w:left="41"/>
        <w:rPr>
          <w:rFonts w:ascii="黑体" w:cs="黑体" w:eastAsia="黑体" w:hAnsi="黑体"/>
          <w:sz w:val="31"/>
          <w:szCs w:val="31"/>
        </w:rPr>
      </w:pPr>
      <w:r>
        <w:rPr>
          <w:rFonts w:ascii="黑体" w:cs="黑体" w:eastAsia="黑体" w:hAnsi="黑体"/>
          <w:spacing w:val="-4"/>
          <w:sz w:val="31"/>
          <w:szCs w:val="31"/>
        </w:rPr>
        <w:t>附件</w:t>
      </w:r>
    </w:p>
    <w:p w14:paraId="23044EEB">
      <w:pPr>
        <w:pStyle w:val="style0"/>
        <w:spacing w:lineRule="auto" w:line="328"/>
        <w:rPr>
          <w:rFonts w:ascii="Arial"/>
          <w:sz w:val="21"/>
        </w:rPr>
      </w:pPr>
    </w:p>
    <w:p w14:paraId="0651E7D9">
      <w:pPr>
        <w:pStyle w:val="style0"/>
        <w:spacing w:lineRule="auto" w:line="328"/>
        <w:rPr>
          <w:rFonts w:ascii="Arial"/>
          <w:sz w:val="21"/>
        </w:rPr>
      </w:pPr>
    </w:p>
    <w:p w14:paraId="7185D8E9">
      <w:pPr>
        <w:pStyle w:val="style0"/>
        <w:spacing w:lineRule="auto" w:line="253"/>
        <w:rPr>
          <w:rFonts w:ascii="Arial"/>
          <w:sz w:val="21"/>
        </w:rPr>
      </w:pPr>
    </w:p>
    <w:p w14:paraId="3082FA55">
      <w:pPr>
        <w:pStyle w:val="style0"/>
        <w:spacing w:lineRule="auto" w:line="253"/>
        <w:rPr>
          <w:rFonts w:ascii="Arial"/>
          <w:sz w:val="21"/>
        </w:rPr>
      </w:pPr>
    </w:p>
    <w:p w14:paraId="77214E45">
      <w:pPr>
        <w:pStyle w:val="style0"/>
        <w:spacing w:lineRule="auto" w:line="253"/>
        <w:rPr>
          <w:rFonts w:ascii="Arial"/>
          <w:sz w:val="21"/>
        </w:rPr>
      </w:pPr>
    </w:p>
    <w:p w14:paraId="4D82D161">
      <w:pPr>
        <w:pStyle w:val="style0"/>
        <w:spacing w:lineRule="auto" w:line="253"/>
        <w:rPr>
          <w:rFonts w:ascii="Arial"/>
          <w:sz w:val="21"/>
        </w:rPr>
      </w:pPr>
    </w:p>
    <w:p w14:paraId="6533DB79">
      <w:pPr>
        <w:pStyle w:val="style0"/>
        <w:spacing w:lineRule="auto" w:line="253"/>
        <w:rPr>
          <w:rFonts w:ascii="Arial"/>
          <w:sz w:val="21"/>
        </w:rPr>
      </w:pPr>
    </w:p>
    <w:p w14:paraId="278E5FF2">
      <w:pPr>
        <w:pStyle w:val="style0"/>
        <w:spacing w:lineRule="auto" w:line="253"/>
        <w:rPr>
          <w:rFonts w:ascii="Arial"/>
          <w:sz w:val="21"/>
        </w:rPr>
      </w:pPr>
    </w:p>
    <w:p w14:paraId="7D3F7881">
      <w:pPr>
        <w:pStyle w:val="style0"/>
        <w:spacing w:lineRule="auto" w:line="253"/>
        <w:rPr>
          <w:rFonts w:ascii="Arial"/>
          <w:sz w:val="21"/>
        </w:rPr>
      </w:pPr>
    </w:p>
    <w:p w14:paraId="672B71EA">
      <w:pPr>
        <w:pStyle w:val="style0"/>
        <w:spacing w:lineRule="auto" w:line="253"/>
        <w:rPr>
          <w:rFonts w:ascii="Arial"/>
          <w:sz w:val="21"/>
        </w:rPr>
      </w:pPr>
    </w:p>
    <w:p w14:paraId="12DE566A">
      <w:pPr>
        <w:pStyle w:val="style0"/>
        <w:spacing w:lineRule="auto" w:line="253"/>
        <w:rPr>
          <w:rFonts w:ascii="Arial"/>
          <w:sz w:val="21"/>
        </w:rPr>
      </w:pPr>
    </w:p>
    <w:p w14:paraId="497DB14B">
      <w:pPr>
        <w:pStyle w:val="style0"/>
        <w:spacing w:before="140" w:lineRule="auto" w:line="224"/>
        <w:jc w:val="center"/>
        <w:rPr>
          <w:rFonts w:ascii="宋体" w:cs="宋体" w:eastAsia="宋体" w:hAnsi="宋体"/>
          <w:sz w:val="43"/>
          <w:szCs w:val="43"/>
        </w:rPr>
      </w:pPr>
      <w:r>
        <w:rPr>
          <w:rFonts w:ascii="宋体" w:cs="宋体" w:eastAsia="宋体" w:hAnsi="宋体" w:hint="eastAsia"/>
          <w:b/>
          <w:bCs/>
          <w:spacing w:val="7"/>
          <w:sz w:val="43"/>
          <w:szCs w:val="43"/>
          <w:lang w:eastAsia="zh-CN"/>
        </w:rPr>
        <w:t>阜新市</w:t>
      </w:r>
      <w:r>
        <w:rPr>
          <w:rFonts w:ascii="宋体" w:cs="宋体" w:eastAsia="宋体" w:hAnsi="宋体" w:hint="eastAsia"/>
          <w:b/>
          <w:bCs/>
          <w:spacing w:val="7"/>
          <w:sz w:val="43"/>
          <w:szCs w:val="43"/>
          <w:lang w:val="en-US" w:eastAsia="zh-CN"/>
        </w:rPr>
        <w:t>委政法委2025</w:t>
      </w:r>
      <w:r>
        <w:rPr>
          <w:rFonts w:ascii="宋体" w:cs="宋体" w:eastAsia="宋体" w:hAnsi="宋体"/>
          <w:b/>
          <w:bCs/>
          <w:spacing w:val="7"/>
          <w:sz w:val="43"/>
          <w:szCs w:val="43"/>
        </w:rPr>
        <w:t>年度部门预算</w:t>
      </w:r>
    </w:p>
    <w:p w14:paraId="13464493">
      <w:pPr>
        <w:pStyle w:val="style0"/>
        <w:spacing w:lineRule="auto" w:line="224"/>
        <w:rPr>
          <w:rFonts w:ascii="宋体" w:cs="宋体" w:eastAsia="宋体" w:hAnsi="宋体"/>
          <w:sz w:val="43"/>
          <w:szCs w:val="43"/>
        </w:rPr>
        <w:sectPr>
          <w:footerReference w:type="default" r:id="rId2"/>
          <w:pgSz w:w="11906" w:h="16839" w:orient="portrait"/>
          <w:pgMar w:top="1431" w:right="1785" w:bottom="400" w:left="1785" w:header="0" w:footer="0" w:gutter="0"/>
          <w:cols w:space="720" w:num="1"/>
        </w:sectPr>
      </w:pPr>
    </w:p>
    <w:p w14:paraId="78DDA419">
      <w:pPr>
        <w:pStyle w:val="style0"/>
        <w:spacing w:before="88" w:lineRule="auto" w:line="226"/>
        <w:ind w:left="3381"/>
        <w:outlineLvl w:val="1"/>
        <w:rPr>
          <w:rFonts w:ascii="宋体" w:cs="宋体" w:eastAsia="宋体" w:hAnsi="宋体"/>
          <w:sz w:val="43"/>
          <w:szCs w:val="43"/>
        </w:rPr>
      </w:pPr>
      <w:r>
        <w:rPr>
          <w:rFonts w:ascii="宋体" w:cs="宋体" w:eastAsia="宋体" w:hAnsi="宋体"/>
          <w:b/>
          <w:bCs/>
          <w:spacing w:val="-51"/>
          <w:sz w:val="43"/>
          <w:szCs w:val="43"/>
        </w:rPr>
        <w:t>目</w:t>
      </w:r>
      <w:r>
        <w:rPr>
          <w:rFonts w:ascii="宋体" w:cs="宋体" w:eastAsia="宋体" w:hAnsi="宋体"/>
          <w:spacing w:val="12"/>
          <w:sz w:val="43"/>
          <w:szCs w:val="43"/>
        </w:rPr>
        <w:t xml:space="preserve">    </w:t>
      </w:r>
      <w:r>
        <w:rPr>
          <w:rFonts w:ascii="宋体" w:cs="宋体" w:eastAsia="宋体" w:hAnsi="宋体"/>
          <w:b/>
          <w:bCs/>
          <w:spacing w:val="-51"/>
          <w:sz w:val="43"/>
          <w:szCs w:val="43"/>
        </w:rPr>
        <w:t>录</w:t>
      </w:r>
    </w:p>
    <w:p w14:paraId="409F30F9">
      <w:pPr>
        <w:pStyle w:val="style0"/>
        <w:spacing w:lineRule="auto" w:line="288"/>
        <w:rPr>
          <w:rFonts w:ascii="Arial"/>
          <w:sz w:val="21"/>
        </w:rPr>
      </w:pPr>
    </w:p>
    <w:p w14:paraId="7FA5697C">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textAlignment w:val="baseline"/>
        <w:rPr>
          <w:rFonts w:ascii="Arial"/>
          <w:spacing w:val="0"/>
          <w:sz w:val="21"/>
        </w:rPr>
      </w:pPr>
    </w:p>
    <w:p w14:paraId="7D52D862">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textAlignment w:val="baseline"/>
        <w:rPr>
          <w:rFonts w:ascii="黑体" w:cs="黑体" w:eastAsia="黑体" w:hAnsi="黑体"/>
          <w:spacing w:val="0"/>
          <w:sz w:val="34"/>
          <w:szCs w:val="34"/>
        </w:rPr>
      </w:pPr>
      <w:r>
        <w:rPr>
          <w:rFonts w:ascii="黑体" w:cs="黑体" w:eastAsia="黑体" w:hAnsi="黑体"/>
          <w:spacing w:val="0"/>
          <w:sz w:val="34"/>
          <w:szCs w:val="34"/>
        </w:rPr>
        <w:t xml:space="preserve">第一部分    </w:t>
      </w:r>
      <w:r>
        <w:rPr>
          <w:rFonts w:ascii="黑体" w:cs="黑体" w:eastAsia="黑体" w:hAnsi="黑体" w:hint="eastAsia"/>
          <w:spacing w:val="0"/>
          <w:sz w:val="34"/>
          <w:szCs w:val="34"/>
          <w:lang w:eastAsia="zh-CN"/>
        </w:rPr>
        <w:t>阜新市</w:t>
      </w:r>
      <w:r>
        <w:rPr>
          <w:rFonts w:ascii="黑体" w:cs="黑体" w:eastAsia="黑体" w:hAnsi="黑体" w:hint="eastAsia"/>
          <w:spacing w:val="0"/>
          <w:sz w:val="34"/>
          <w:szCs w:val="34"/>
          <w:lang w:val="en-US" w:eastAsia="zh-CN"/>
        </w:rPr>
        <w:t>委政法委</w:t>
      </w:r>
      <w:r>
        <w:rPr>
          <w:rFonts w:ascii="黑体" w:cs="黑体" w:eastAsia="黑体" w:hAnsi="黑体"/>
          <w:spacing w:val="0"/>
          <w:sz w:val="34"/>
          <w:szCs w:val="34"/>
        </w:rPr>
        <w:t>概况</w:t>
      </w:r>
    </w:p>
    <w:p w14:paraId="5CB79CD5">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textAlignment w:val="baseline"/>
        <w:rPr>
          <w:spacing w:val="0"/>
          <w:sz w:val="34"/>
          <w:szCs w:val="34"/>
        </w:rPr>
      </w:pPr>
      <w:r>
        <w:rPr>
          <w:spacing w:val="0"/>
          <w:sz w:val="34"/>
          <w:szCs w:val="34"/>
        </w:rPr>
        <w:t>一、部门职责</w:t>
      </w:r>
    </w:p>
    <w:p w14:paraId="7E94CB92">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textAlignment w:val="baseline"/>
        <w:rPr>
          <w:spacing w:val="0"/>
          <w:sz w:val="34"/>
          <w:szCs w:val="34"/>
        </w:rPr>
      </w:pPr>
      <w:r>
        <w:rPr>
          <w:spacing w:val="0"/>
          <w:sz w:val="34"/>
          <w:szCs w:val="34"/>
        </w:rPr>
        <w:t>二、机构设置</w:t>
      </w:r>
    </w:p>
    <w:p w14:paraId="6CD51F4D">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textAlignment w:val="baseline"/>
        <w:rPr>
          <w:rFonts w:ascii="黑体" w:cs="黑体" w:eastAsia="黑体" w:hAnsi="黑体" w:hint="eastAsia"/>
          <w:spacing w:val="0"/>
          <w:sz w:val="34"/>
          <w:szCs w:val="34"/>
          <w:lang w:val="en-US" w:eastAsia="zh-CN"/>
        </w:rPr>
      </w:pPr>
      <w:r>
        <w:rPr>
          <w:rFonts w:ascii="黑体" w:cs="黑体" w:eastAsia="黑体" w:hAnsi="黑体" w:hint="eastAsia"/>
          <w:spacing w:val="0"/>
          <w:sz w:val="34"/>
          <w:szCs w:val="34"/>
          <w:lang w:val="en-US" w:eastAsia="zh-CN"/>
        </w:rPr>
        <w:t>第二部分    阜新市委政法委2025年部门预算情况说明</w:t>
      </w:r>
    </w:p>
    <w:p w14:paraId="51C51B27">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lineRule="exact" w:line="590"/>
        <w:ind w:left="0" w:leftChars="0"/>
        <w:textAlignment w:val="baseline"/>
        <w:rPr>
          <w:rFonts w:ascii="黑体" w:cs="黑体" w:eastAsia="黑体" w:hAnsi="黑体" w:hint="eastAsia"/>
          <w:spacing w:val="0"/>
          <w:sz w:val="34"/>
          <w:szCs w:val="34"/>
          <w:lang w:val="en-US" w:eastAsia="zh-CN"/>
        </w:rPr>
      </w:pPr>
      <w:r>
        <w:rPr>
          <w:rFonts w:ascii="黑体" w:cs="黑体" w:eastAsia="黑体" w:hAnsi="黑体" w:hint="eastAsia"/>
          <w:snapToGrid w:val="false"/>
          <w:color w:val="000000"/>
          <w:spacing w:val="0"/>
          <w:kern w:val="0"/>
          <w:sz w:val="34"/>
          <w:szCs w:val="34"/>
          <w:lang w:val="en-US" w:bidi="ar-SA" w:eastAsia="zh-CN"/>
        </w:rPr>
        <w:t>第三部分</w:t>
      </w:r>
      <w:r>
        <w:rPr>
          <w:rFonts w:ascii="黑体" w:cs="黑体" w:eastAsia="黑体" w:hAnsi="黑体" w:hint="eastAsia"/>
          <w:spacing w:val="0"/>
          <w:sz w:val="34"/>
          <w:szCs w:val="34"/>
          <w:lang w:val="en-US" w:eastAsia="zh-CN"/>
        </w:rPr>
        <w:t xml:space="preserve">    名词解释</w:t>
      </w:r>
    </w:p>
    <w:p w14:paraId="16E49B54">
      <w:pPr>
        <w:pStyle w:val="style0"/>
        <w:keepNext w:val="false"/>
        <w:keepLines w:val="false"/>
        <w:pageBreakBefore w:val="false"/>
        <w:widowControl/>
        <w:numPr>
          <w:ilvl w:val="0"/>
          <w:numId w:val="0"/>
        </w:numPr>
        <w:kinsoku w:val="false"/>
        <w:wordWrap/>
        <w:overflowPunct/>
        <w:topLinePunct w:val="false"/>
        <w:autoSpaceDE w:val="false"/>
        <w:autoSpaceDN w:val="false"/>
        <w:bidi w:val="false"/>
        <w:adjustRightInd w:val="false"/>
        <w:snapToGrid w:val="false"/>
        <w:spacing w:lineRule="exact" w:line="590"/>
        <w:ind w:left="0" w:leftChars="0"/>
        <w:textAlignment w:val="baseline"/>
        <w:rPr>
          <w:rFonts w:ascii="黑体" w:cs="黑体" w:eastAsia="黑体" w:hAnsi="黑体" w:hint="eastAsia"/>
          <w:spacing w:val="0"/>
          <w:sz w:val="34"/>
          <w:szCs w:val="34"/>
          <w:lang w:val="en-US" w:eastAsia="zh-CN"/>
        </w:rPr>
      </w:pPr>
      <w:r>
        <w:rPr>
          <w:rFonts w:ascii="黑体" w:cs="黑体" w:eastAsia="黑体" w:hAnsi="黑体" w:hint="eastAsia"/>
          <w:snapToGrid w:val="false"/>
          <w:color w:val="000000"/>
          <w:spacing w:val="0"/>
          <w:kern w:val="0"/>
          <w:sz w:val="34"/>
          <w:szCs w:val="34"/>
          <w:lang w:val="en-US" w:bidi="ar-SA" w:eastAsia="zh-CN"/>
        </w:rPr>
        <w:t>第四部分</w:t>
      </w:r>
      <w:r>
        <w:rPr>
          <w:rFonts w:ascii="黑体" w:cs="黑体" w:eastAsia="黑体" w:hAnsi="黑体" w:hint="eastAsia"/>
          <w:spacing w:val="0"/>
          <w:sz w:val="34"/>
          <w:szCs w:val="34"/>
          <w:lang w:val="en-US" w:eastAsia="zh-CN"/>
        </w:rPr>
        <w:t xml:space="preserve">    2025</w:t>
      </w:r>
      <w:r>
        <w:rPr>
          <w:rFonts w:ascii="黑体" w:cs="黑体" w:eastAsia="黑体" w:hAnsi="黑体"/>
          <w:spacing w:val="0"/>
          <w:sz w:val="34"/>
          <w:szCs w:val="34"/>
        </w:rPr>
        <w:t>年</w:t>
      </w:r>
      <w:r>
        <w:rPr>
          <w:rFonts w:ascii="黑体" w:cs="黑体" w:eastAsia="黑体" w:hAnsi="黑体" w:hint="eastAsia"/>
          <w:spacing w:val="0"/>
          <w:sz w:val="34"/>
          <w:szCs w:val="34"/>
          <w:lang w:eastAsia="zh-CN"/>
        </w:rPr>
        <w:t>阜新市</w:t>
      </w:r>
      <w:r>
        <w:rPr>
          <w:rFonts w:ascii="黑体" w:cs="黑体" w:eastAsia="黑体" w:hAnsi="黑体" w:hint="eastAsia"/>
          <w:spacing w:val="0"/>
          <w:sz w:val="34"/>
          <w:szCs w:val="34"/>
          <w:lang w:val="en-US" w:eastAsia="zh-CN"/>
        </w:rPr>
        <w:t>委政法委</w:t>
      </w:r>
      <w:r>
        <w:rPr>
          <w:rFonts w:ascii="黑体" w:cs="黑体" w:eastAsia="黑体" w:hAnsi="黑体"/>
          <w:spacing w:val="0"/>
          <w:sz w:val="34"/>
          <w:szCs w:val="34"/>
        </w:rPr>
        <w:t>部门预算批复表</w:t>
      </w:r>
    </w:p>
    <w:p w14:paraId="6E09A3CB">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pPr>
      <w:r>
        <w:rPr>
          <w:spacing w:val="0"/>
          <w:sz w:val="34"/>
          <w:szCs w:val="34"/>
        </w:rPr>
        <w:t>一、收支预算总表</w:t>
      </w:r>
    </w:p>
    <w:p w14:paraId="18DD5750">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pPr>
      <w:r>
        <w:rPr>
          <w:spacing w:val="0"/>
          <w:sz w:val="34"/>
          <w:szCs w:val="34"/>
        </w:rPr>
        <w:t>二、收入预算总表</w:t>
      </w:r>
    </w:p>
    <w:p w14:paraId="29DB69A0">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pPr>
      <w:r>
        <w:rPr>
          <w:spacing w:val="0"/>
          <w:sz w:val="34"/>
          <w:szCs w:val="34"/>
        </w:rPr>
        <w:t>三、支出预算总表</w:t>
      </w:r>
    </w:p>
    <w:p w14:paraId="4F337B8F">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pPr>
      <w:r>
        <w:rPr>
          <w:spacing w:val="0"/>
          <w:sz w:val="34"/>
          <w:szCs w:val="34"/>
        </w:rPr>
        <w:t>四、财政拨款收支预算总表</w:t>
      </w:r>
    </w:p>
    <w:p w14:paraId="2C42E56E">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pPr>
      <w:r>
        <w:rPr>
          <w:spacing w:val="0"/>
          <w:sz w:val="34"/>
          <w:szCs w:val="34"/>
        </w:rPr>
        <w:t>五、一般公共预算支出表</w:t>
      </w:r>
    </w:p>
    <w:p w14:paraId="1548ECB8">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pPr>
      <w:r>
        <w:rPr>
          <w:spacing w:val="0"/>
          <w:sz w:val="34"/>
          <w:szCs w:val="34"/>
        </w:rPr>
        <w:t>六、一般公共预算基本支出表</w:t>
      </w:r>
    </w:p>
    <w:p w14:paraId="594BEC69">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pPr>
      <w:r>
        <w:rPr>
          <w:spacing w:val="0"/>
          <w:sz w:val="34"/>
          <w:szCs w:val="34"/>
        </w:rPr>
        <w:t>七、财政拨款预算“ 三公”经费支出表</w:t>
      </w:r>
    </w:p>
    <w:p w14:paraId="14E583EB">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pPr>
      <w:r>
        <w:rPr>
          <w:spacing w:val="0"/>
          <w:sz w:val="34"/>
          <w:szCs w:val="34"/>
        </w:rPr>
        <w:t>八、政府性基金预算支出表</w:t>
      </w:r>
    </w:p>
    <w:p w14:paraId="08D074EC">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pPr>
      <w:r>
        <w:rPr>
          <w:spacing w:val="0"/>
          <w:sz w:val="34"/>
          <w:szCs w:val="34"/>
        </w:rPr>
        <w:t>九、项目支出预算表</w:t>
      </w:r>
    </w:p>
    <w:p w14:paraId="4E03539B">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pPr>
      <w:r>
        <w:rPr>
          <w:spacing w:val="0"/>
          <w:sz w:val="34"/>
          <w:szCs w:val="34"/>
        </w:rPr>
        <w:t>十、支出功能分类预算表</w:t>
      </w:r>
    </w:p>
    <w:p w14:paraId="12D6FCC0">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pPr>
      <w:r>
        <w:rPr>
          <w:spacing w:val="0"/>
          <w:sz w:val="34"/>
          <w:szCs w:val="34"/>
        </w:rPr>
        <w:t>十一、支出经济分类预算表（政府预算）</w:t>
      </w:r>
    </w:p>
    <w:p w14:paraId="437E9827">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pPr>
      <w:r>
        <w:rPr>
          <w:spacing w:val="0"/>
          <w:sz w:val="34"/>
          <w:szCs w:val="34"/>
        </w:rPr>
        <w:t>十二、支出经济分类预算表（部门预算）</w:t>
      </w:r>
    </w:p>
    <w:p w14:paraId="0ED09390">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pPr>
      <w:r>
        <w:rPr>
          <w:spacing w:val="0"/>
          <w:sz w:val="34"/>
          <w:szCs w:val="34"/>
        </w:rPr>
        <w:t>十三、债务支出预算表</w:t>
      </w:r>
    </w:p>
    <w:p w14:paraId="413C68EB">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pPr>
      <w:r>
        <w:rPr>
          <w:spacing w:val="0"/>
          <w:sz w:val="34"/>
          <w:szCs w:val="34"/>
        </w:rPr>
        <w:t>十四、政府采购支出预算表</w:t>
      </w:r>
    </w:p>
    <w:p w14:paraId="4CD519BE">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pPr>
      <w:r>
        <w:rPr>
          <w:spacing w:val="0"/>
          <w:sz w:val="34"/>
          <w:szCs w:val="34"/>
        </w:rPr>
        <w:t>十五、政府购买服务支出预算表</w:t>
      </w:r>
    </w:p>
    <w:p w14:paraId="1B31926F">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pPr>
      <w:r>
        <w:rPr>
          <w:spacing w:val="0"/>
          <w:sz w:val="34"/>
          <w:szCs w:val="34"/>
        </w:rPr>
        <w:t>十六、部门（单位）整体绩效目标表</w:t>
      </w:r>
    </w:p>
    <w:p w14:paraId="358B05B0">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pPr>
      <w:r>
        <w:rPr>
          <w:spacing w:val="0"/>
          <w:sz w:val="34"/>
          <w:szCs w:val="34"/>
        </w:rPr>
        <w:t>十七、部门预算项目（政策）绩效目标表</w:t>
      </w:r>
    </w:p>
    <w:p w14:paraId="7658D528">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textAlignment w:val="baseline"/>
        <w:rPr>
          <w:spacing w:val="0"/>
          <w:sz w:val="34"/>
          <w:szCs w:val="34"/>
        </w:rPr>
        <w:sectPr>
          <w:footerReference w:type="default" r:id="rId3"/>
          <w:pgSz w:w="11906" w:h="16839" w:orient="portrait"/>
          <w:pgMar w:top="1928" w:right="1474" w:bottom="1701" w:left="1474" w:header="0" w:footer="994" w:gutter="0"/>
          <w:cols w:space="720" w:num="1"/>
        </w:sectPr>
      </w:pPr>
      <w:r>
        <w:rPr>
          <w:spacing w:val="0"/>
          <w:sz w:val="34"/>
          <w:szCs w:val="34"/>
        </w:rPr>
        <w:t>十八、部门管理专项资金预算表</w:t>
      </w:r>
    </w:p>
    <w:p w14:paraId="7DE8411D">
      <w:pPr>
        <w:pStyle w:val="style0"/>
        <w:spacing w:before="147" w:lineRule="auto" w:line="225"/>
        <w:ind w:left="1904"/>
        <w:outlineLvl w:val="1"/>
        <w:rPr>
          <w:rFonts w:ascii="宋体" w:cs="宋体" w:eastAsia="宋体" w:hAnsi="宋体"/>
          <w:spacing w:val="0"/>
          <w:sz w:val="34"/>
          <w:szCs w:val="34"/>
        </w:rPr>
      </w:pPr>
      <w:r>
        <w:rPr>
          <w:rFonts w:ascii="宋体" w:cs="宋体" w:eastAsia="宋体" w:hAnsi="宋体"/>
          <w:b/>
          <w:bCs/>
          <w:spacing w:val="0"/>
          <w:sz w:val="34"/>
          <w:szCs w:val="34"/>
        </w:rPr>
        <w:t>第</w:t>
      </w:r>
      <w:r>
        <w:rPr>
          <w:rFonts w:ascii="宋体" w:cs="宋体" w:eastAsia="宋体" w:hAnsi="宋体" w:hint="eastAsia"/>
          <w:b/>
          <w:bCs/>
          <w:spacing w:val="0"/>
          <w:sz w:val="34"/>
          <w:szCs w:val="34"/>
          <w:lang w:eastAsia="zh-CN"/>
        </w:rPr>
        <w:t>一</w:t>
      </w:r>
      <w:r>
        <w:rPr>
          <w:rFonts w:ascii="宋体" w:cs="宋体" w:eastAsia="宋体" w:hAnsi="宋体"/>
          <w:b/>
          <w:bCs/>
          <w:spacing w:val="0"/>
          <w:sz w:val="34"/>
          <w:szCs w:val="34"/>
        </w:rPr>
        <w:t>部分</w:t>
      </w:r>
      <w:r>
        <w:rPr>
          <w:rFonts w:ascii="宋体" w:cs="宋体" w:eastAsia="宋体" w:hAnsi="宋体"/>
          <w:spacing w:val="0"/>
          <w:sz w:val="34"/>
          <w:szCs w:val="34"/>
        </w:rPr>
        <w:t xml:space="preserve"> </w:t>
      </w:r>
      <w:r>
        <w:rPr>
          <w:rFonts w:ascii="宋体" w:cs="宋体" w:eastAsia="宋体" w:hAnsi="宋体" w:hint="eastAsia"/>
          <w:b/>
          <w:bCs/>
          <w:spacing w:val="0"/>
          <w:sz w:val="34"/>
          <w:szCs w:val="34"/>
          <w:lang w:eastAsia="zh-CN"/>
        </w:rPr>
        <w:t>阜新</w:t>
      </w:r>
      <w:r>
        <w:rPr>
          <w:rFonts w:ascii="宋体" w:cs="宋体" w:eastAsia="宋体" w:hAnsi="宋体" w:hint="eastAsia"/>
          <w:b/>
          <w:bCs/>
          <w:spacing w:val="0"/>
          <w:sz w:val="34"/>
          <w:szCs w:val="34"/>
          <w:lang w:val="en-US" w:eastAsia="zh-CN"/>
        </w:rPr>
        <w:t>市委政法委</w:t>
      </w:r>
      <w:r>
        <w:rPr>
          <w:rFonts w:ascii="宋体" w:cs="宋体" w:eastAsia="宋体" w:hAnsi="宋体"/>
          <w:b/>
          <w:bCs/>
          <w:spacing w:val="0"/>
          <w:sz w:val="34"/>
          <w:szCs w:val="34"/>
        </w:rPr>
        <w:t>概况</w:t>
      </w:r>
    </w:p>
    <w:p w14:paraId="7096CCCA">
      <w:pPr>
        <w:pStyle w:val="style0"/>
        <w:spacing w:lineRule="auto" w:line="312"/>
        <w:rPr>
          <w:rFonts w:ascii="Arial"/>
          <w:spacing w:val="0"/>
          <w:sz w:val="34"/>
          <w:szCs w:val="34"/>
        </w:rPr>
      </w:pPr>
    </w:p>
    <w:p w14:paraId="15EB5163">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textAlignment w:val="baseline"/>
        <w:rPr>
          <w:rFonts w:ascii="Arial"/>
          <w:spacing w:val="0"/>
          <w:sz w:val="34"/>
          <w:szCs w:val="34"/>
        </w:rPr>
      </w:pPr>
    </w:p>
    <w:p w14:paraId="4D26080A">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677"/>
        <w:textAlignment w:val="baseline"/>
        <w:outlineLvl w:val="2"/>
        <w:rPr>
          <w:rFonts w:ascii="黑体" w:cs="黑体" w:eastAsia="黑体" w:hAnsi="黑体"/>
          <w:spacing w:val="0"/>
          <w:sz w:val="34"/>
          <w:szCs w:val="34"/>
        </w:rPr>
      </w:pPr>
      <w:r>
        <w:rPr>
          <w:rFonts w:ascii="黑体" w:cs="黑体" w:eastAsia="黑体" w:hAnsi="黑体"/>
          <w:spacing w:val="0"/>
          <w:sz w:val="34"/>
          <w:szCs w:val="34"/>
        </w:rPr>
        <w:t>一、部门职责</w:t>
      </w:r>
    </w:p>
    <w:p w14:paraId="36A86FF9">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680" w:firstLineChars="200"/>
        <w:jc w:val="both"/>
        <w:textAlignment w:val="baseline"/>
        <w:rPr>
          <w:rFonts w:hint="eastAsia"/>
          <w:spacing w:val="0"/>
          <w:sz w:val="34"/>
          <w:szCs w:val="34"/>
        </w:rPr>
      </w:pPr>
      <w:r>
        <w:rPr>
          <w:rFonts w:hint="eastAsia"/>
          <w:spacing w:val="0"/>
          <w:sz w:val="34"/>
          <w:szCs w:val="34"/>
          <w:lang w:eastAsia="zh-CN"/>
        </w:rPr>
        <w:t>（</w:t>
      </w:r>
      <w:r>
        <w:rPr>
          <w:rFonts w:hint="eastAsia"/>
          <w:spacing w:val="0"/>
          <w:sz w:val="34"/>
          <w:szCs w:val="34"/>
          <w:lang w:val="en-US" w:eastAsia="zh-CN"/>
        </w:rPr>
        <w:t>一</w:t>
      </w:r>
      <w:r>
        <w:rPr>
          <w:rFonts w:hint="eastAsia"/>
          <w:spacing w:val="0"/>
          <w:sz w:val="34"/>
          <w:szCs w:val="34"/>
          <w:lang w:eastAsia="zh-CN"/>
        </w:rPr>
        <w:t>）</w:t>
      </w:r>
      <w:r>
        <w:rPr>
          <w:rFonts w:hint="eastAsia"/>
          <w:spacing w:val="0"/>
          <w:sz w:val="34"/>
          <w:szCs w:val="34"/>
        </w:rPr>
        <w:t>深入贯彻习近平新时代中国特色社会主义</w:t>
      </w:r>
      <w:r>
        <w:rPr>
          <w:rFonts w:hint="eastAsia"/>
          <w:spacing w:val="0"/>
          <w:sz w:val="34"/>
          <w:szCs w:val="34"/>
          <w:lang w:val="en-US" w:eastAsia="zh-CN"/>
        </w:rPr>
        <w:t>思想，</w:t>
      </w:r>
      <w:r>
        <w:rPr>
          <w:rFonts w:hint="eastAsia"/>
          <w:spacing w:val="0"/>
          <w:sz w:val="34"/>
          <w:szCs w:val="34"/>
        </w:rPr>
        <w:t>深入贯彻党的路线方针政策和决策部署，统一政法各部门思想和行动，坚持党对政法工作的绝对领导，坚决维护党中央权威和集中统一领导。</w:t>
      </w:r>
    </w:p>
    <w:p w14:paraId="1738487F">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jc w:val="both"/>
        <w:textAlignment w:val="baseline"/>
        <w:rPr>
          <w:rFonts w:hint="eastAsia"/>
          <w:spacing w:val="0"/>
          <w:sz w:val="34"/>
          <w:szCs w:val="34"/>
        </w:rPr>
      </w:pPr>
      <w:r>
        <w:rPr>
          <w:rFonts w:hint="eastAsia"/>
          <w:spacing w:val="0"/>
          <w:sz w:val="34"/>
          <w:szCs w:val="34"/>
        </w:rPr>
        <w:t>　</w:t>
      </w:r>
      <w:r>
        <w:rPr>
          <w:rFonts w:hint="eastAsia"/>
          <w:spacing w:val="0"/>
          <w:sz w:val="34"/>
          <w:szCs w:val="34"/>
          <w:lang w:val="en-US" w:eastAsia="zh-CN"/>
        </w:rPr>
        <w:t xml:space="preserve">  </w:t>
      </w:r>
      <w:r>
        <w:rPr>
          <w:rFonts w:hint="eastAsia"/>
          <w:spacing w:val="0"/>
          <w:sz w:val="34"/>
          <w:szCs w:val="34"/>
          <w:lang w:eastAsia="zh-CN"/>
        </w:rPr>
        <w:t>（</w:t>
      </w:r>
      <w:r>
        <w:rPr>
          <w:rFonts w:hint="eastAsia"/>
          <w:spacing w:val="0"/>
          <w:sz w:val="34"/>
          <w:szCs w:val="34"/>
          <w:lang w:val="en-US" w:eastAsia="zh-CN"/>
        </w:rPr>
        <w:t>二</w:t>
      </w:r>
      <w:r>
        <w:rPr>
          <w:rFonts w:hint="eastAsia"/>
          <w:spacing w:val="0"/>
          <w:sz w:val="34"/>
          <w:szCs w:val="34"/>
          <w:lang w:eastAsia="zh-CN"/>
        </w:rPr>
        <w:t>）</w:t>
      </w:r>
      <w:r>
        <w:rPr>
          <w:rFonts w:hint="eastAsia"/>
          <w:spacing w:val="0"/>
          <w:sz w:val="34"/>
          <w:szCs w:val="34"/>
        </w:rPr>
        <w:t>深入贯彻落实党中央对政法工作的全局性部署和省委、市委对政法工作的具体安排，推进平安阜新、法治阜新建设，加强过硬队伍建设，深化智能化建设，坚决维护国家政治安全、确保社会大局稳定、促进社会公平正义、保障人民安居乐业。</w:t>
      </w:r>
    </w:p>
    <w:p w14:paraId="22AFB0A9">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jc w:val="both"/>
        <w:textAlignment w:val="baseline"/>
        <w:rPr>
          <w:rFonts w:hint="eastAsia"/>
          <w:spacing w:val="0"/>
          <w:sz w:val="34"/>
          <w:szCs w:val="34"/>
        </w:rPr>
      </w:pPr>
      <w:r>
        <w:rPr>
          <w:rFonts w:hint="eastAsia"/>
          <w:spacing w:val="0"/>
          <w:sz w:val="34"/>
          <w:szCs w:val="34"/>
        </w:rPr>
        <w:t>　　</w:t>
      </w:r>
      <w:r>
        <w:rPr>
          <w:rFonts w:hint="eastAsia"/>
          <w:spacing w:val="0"/>
          <w:sz w:val="34"/>
          <w:szCs w:val="34"/>
          <w:lang w:eastAsia="zh-CN"/>
        </w:rPr>
        <w:t>（</w:t>
      </w:r>
      <w:r>
        <w:rPr>
          <w:rFonts w:hint="eastAsia"/>
          <w:spacing w:val="0"/>
          <w:sz w:val="34"/>
          <w:szCs w:val="34"/>
          <w:lang w:val="en-US" w:eastAsia="zh-CN"/>
        </w:rPr>
        <w:t>三</w:t>
      </w:r>
      <w:r>
        <w:rPr>
          <w:rFonts w:hint="eastAsia"/>
          <w:spacing w:val="0"/>
          <w:sz w:val="34"/>
          <w:szCs w:val="34"/>
          <w:lang w:eastAsia="zh-CN"/>
        </w:rPr>
        <w:t>）</w:t>
      </w:r>
      <w:r>
        <w:rPr>
          <w:rFonts w:hint="eastAsia"/>
          <w:spacing w:val="0"/>
          <w:sz w:val="34"/>
          <w:szCs w:val="34"/>
        </w:rPr>
        <w:t>指导推动政法系统党的建设和政法队伍建设，协助组织部门考察、管理政法部门领导班子和领导干部，代管市法学会。</w:t>
      </w:r>
    </w:p>
    <w:p w14:paraId="0A9BA560">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jc w:val="both"/>
        <w:textAlignment w:val="baseline"/>
        <w:rPr>
          <w:rFonts w:hint="eastAsia"/>
          <w:spacing w:val="0"/>
          <w:sz w:val="34"/>
          <w:szCs w:val="34"/>
        </w:rPr>
      </w:pPr>
      <w:r>
        <w:rPr>
          <w:rFonts w:hint="eastAsia"/>
          <w:spacing w:val="0"/>
          <w:sz w:val="34"/>
          <w:szCs w:val="34"/>
        </w:rPr>
        <w:t>　　</w:t>
      </w:r>
      <w:r>
        <w:rPr>
          <w:rFonts w:hint="eastAsia"/>
          <w:spacing w:val="0"/>
          <w:sz w:val="34"/>
          <w:szCs w:val="34"/>
          <w:lang w:eastAsia="zh-CN"/>
        </w:rPr>
        <w:t>（</w:t>
      </w:r>
      <w:r>
        <w:rPr>
          <w:rFonts w:hint="eastAsia"/>
          <w:spacing w:val="0"/>
          <w:sz w:val="34"/>
          <w:szCs w:val="34"/>
          <w:lang w:val="en-US" w:eastAsia="zh-CN"/>
        </w:rPr>
        <w:t>四</w:t>
      </w:r>
      <w:r>
        <w:rPr>
          <w:rFonts w:hint="eastAsia"/>
          <w:spacing w:val="0"/>
          <w:sz w:val="34"/>
          <w:szCs w:val="34"/>
          <w:lang w:eastAsia="zh-CN"/>
        </w:rPr>
        <w:t>）</w:t>
      </w:r>
      <w:r>
        <w:rPr>
          <w:rFonts w:hint="eastAsia"/>
          <w:spacing w:val="0"/>
          <w:sz w:val="34"/>
          <w:szCs w:val="34"/>
        </w:rPr>
        <w:t>了解掌握和分析研判政法工作情况动态，分析社会稳定形势，创新完善多部门参与的综治维稳工作</w:t>
      </w:r>
      <w:r>
        <w:rPr>
          <w:rFonts w:hint="eastAsia"/>
          <w:spacing w:val="0"/>
          <w:sz w:val="34"/>
          <w:szCs w:val="34"/>
          <w:lang w:val="en-US" w:eastAsia="zh-CN"/>
        </w:rPr>
        <w:t>机制，</w:t>
      </w:r>
      <w:r>
        <w:rPr>
          <w:rFonts w:hint="eastAsia"/>
          <w:spacing w:val="0"/>
          <w:sz w:val="34"/>
          <w:szCs w:val="34"/>
        </w:rPr>
        <w:t>协调推动预防、化解影响稳定的社会矛盾和风险，协调应对和处置重大突发事件。</w:t>
      </w:r>
    </w:p>
    <w:p w14:paraId="12505C56">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jc w:val="both"/>
        <w:textAlignment w:val="baseline"/>
        <w:rPr>
          <w:rFonts w:hint="eastAsia"/>
          <w:spacing w:val="0"/>
          <w:sz w:val="34"/>
          <w:szCs w:val="34"/>
        </w:rPr>
      </w:pPr>
      <w:r>
        <w:rPr>
          <w:rFonts w:hint="eastAsia"/>
          <w:spacing w:val="0"/>
          <w:sz w:val="34"/>
          <w:szCs w:val="34"/>
        </w:rPr>
        <w:t>　　</w:t>
      </w:r>
      <w:r>
        <w:rPr>
          <w:rFonts w:hint="eastAsia"/>
          <w:spacing w:val="0"/>
          <w:sz w:val="34"/>
          <w:szCs w:val="34"/>
          <w:lang w:eastAsia="zh-CN"/>
        </w:rPr>
        <w:t>（</w:t>
      </w:r>
      <w:r>
        <w:rPr>
          <w:rFonts w:hint="eastAsia"/>
          <w:spacing w:val="0"/>
          <w:sz w:val="34"/>
          <w:szCs w:val="34"/>
          <w:lang w:val="en-US" w:eastAsia="zh-CN"/>
        </w:rPr>
        <w:t>五</w:t>
      </w:r>
      <w:r>
        <w:rPr>
          <w:rFonts w:hint="eastAsia"/>
          <w:spacing w:val="0"/>
          <w:sz w:val="34"/>
          <w:szCs w:val="34"/>
          <w:lang w:eastAsia="zh-CN"/>
        </w:rPr>
        <w:t>）</w:t>
      </w:r>
      <w:r>
        <w:rPr>
          <w:rFonts w:hint="eastAsia"/>
          <w:spacing w:val="0"/>
          <w:sz w:val="34"/>
          <w:szCs w:val="34"/>
        </w:rPr>
        <w:t>加强对政法工作的督查，统筹协调社会治安综合治理、维护社会稳定、反邪教有关法律法规政策的实施工作。</w:t>
      </w:r>
    </w:p>
    <w:p w14:paraId="5FD10525">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jc w:val="both"/>
        <w:textAlignment w:val="baseline"/>
        <w:rPr>
          <w:rFonts w:hint="eastAsia"/>
          <w:spacing w:val="0"/>
          <w:sz w:val="34"/>
          <w:szCs w:val="34"/>
        </w:rPr>
      </w:pPr>
      <w:r>
        <w:rPr>
          <w:rFonts w:hint="eastAsia"/>
          <w:spacing w:val="0"/>
          <w:sz w:val="34"/>
          <w:szCs w:val="34"/>
        </w:rPr>
        <w:t>　　</w:t>
      </w:r>
      <w:r>
        <w:rPr>
          <w:rFonts w:hint="eastAsia"/>
          <w:spacing w:val="0"/>
          <w:sz w:val="34"/>
          <w:szCs w:val="34"/>
          <w:lang w:eastAsia="zh-CN"/>
        </w:rPr>
        <w:t>（</w:t>
      </w:r>
      <w:r>
        <w:rPr>
          <w:rFonts w:hint="eastAsia"/>
          <w:spacing w:val="0"/>
          <w:sz w:val="34"/>
          <w:szCs w:val="34"/>
          <w:lang w:val="en-US" w:eastAsia="zh-CN"/>
        </w:rPr>
        <w:t>六</w:t>
      </w:r>
      <w:r>
        <w:rPr>
          <w:rFonts w:hint="eastAsia"/>
          <w:spacing w:val="0"/>
          <w:sz w:val="34"/>
          <w:szCs w:val="34"/>
          <w:lang w:eastAsia="zh-CN"/>
        </w:rPr>
        <w:t>）</w:t>
      </w:r>
      <w:r>
        <w:rPr>
          <w:rFonts w:hint="eastAsia"/>
          <w:spacing w:val="0"/>
          <w:sz w:val="34"/>
          <w:szCs w:val="34"/>
        </w:rPr>
        <w:t>组织开展政法领域调查研究，研究拟订阜新政法工作有关政策和重大措施，及时向市委提出建议，参与有关地方性法规、市政府规章起草、修改工作。</w:t>
      </w:r>
    </w:p>
    <w:p w14:paraId="6A94EAAE">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jc w:val="both"/>
        <w:textAlignment w:val="baseline"/>
        <w:rPr>
          <w:rFonts w:hint="eastAsia"/>
          <w:spacing w:val="0"/>
          <w:sz w:val="34"/>
          <w:szCs w:val="34"/>
        </w:rPr>
      </w:pPr>
      <w:r>
        <w:rPr>
          <w:rFonts w:hint="eastAsia"/>
          <w:spacing w:val="0"/>
          <w:sz w:val="34"/>
          <w:szCs w:val="34"/>
        </w:rPr>
        <w:t>　　</w:t>
      </w:r>
      <w:r>
        <w:rPr>
          <w:rFonts w:hint="eastAsia"/>
          <w:spacing w:val="0"/>
          <w:sz w:val="34"/>
          <w:szCs w:val="34"/>
          <w:lang w:eastAsia="zh-CN"/>
        </w:rPr>
        <w:t>（</w:t>
      </w:r>
      <w:r>
        <w:rPr>
          <w:rFonts w:hint="eastAsia"/>
          <w:spacing w:val="0"/>
          <w:sz w:val="34"/>
          <w:szCs w:val="34"/>
          <w:lang w:val="en-US" w:eastAsia="zh-CN"/>
        </w:rPr>
        <w:t>七</w:t>
      </w:r>
      <w:r>
        <w:rPr>
          <w:rFonts w:hint="eastAsia"/>
          <w:spacing w:val="0"/>
          <w:sz w:val="34"/>
          <w:szCs w:val="34"/>
          <w:lang w:eastAsia="zh-CN"/>
        </w:rPr>
        <w:t>）</w:t>
      </w:r>
      <w:r>
        <w:rPr>
          <w:rFonts w:hint="eastAsia"/>
          <w:spacing w:val="0"/>
          <w:sz w:val="34"/>
          <w:szCs w:val="34"/>
        </w:rPr>
        <w:t>掌握分析政法舆情动态，指导协调政法各部门媒体网络宣传工作，指导政法部门做好涉及政法工作的重大宣传工作。</w:t>
      </w:r>
    </w:p>
    <w:p w14:paraId="2590E63A">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jc w:val="both"/>
        <w:textAlignment w:val="baseline"/>
        <w:rPr>
          <w:rFonts w:hint="eastAsia"/>
          <w:spacing w:val="0"/>
          <w:sz w:val="34"/>
          <w:szCs w:val="34"/>
        </w:rPr>
      </w:pPr>
      <w:r>
        <w:rPr>
          <w:rFonts w:hint="eastAsia"/>
          <w:spacing w:val="0"/>
          <w:sz w:val="34"/>
          <w:szCs w:val="34"/>
        </w:rPr>
        <w:t>　　</w:t>
      </w:r>
      <w:r>
        <w:rPr>
          <w:rFonts w:hint="eastAsia"/>
          <w:spacing w:val="0"/>
          <w:sz w:val="34"/>
          <w:szCs w:val="34"/>
          <w:lang w:eastAsia="zh-CN"/>
        </w:rPr>
        <w:t>（</w:t>
      </w:r>
      <w:r>
        <w:rPr>
          <w:rFonts w:hint="eastAsia"/>
          <w:spacing w:val="0"/>
          <w:sz w:val="34"/>
          <w:szCs w:val="34"/>
          <w:lang w:val="en-US" w:eastAsia="zh-CN"/>
        </w:rPr>
        <w:t>八</w:t>
      </w:r>
      <w:r>
        <w:rPr>
          <w:rFonts w:hint="eastAsia"/>
          <w:spacing w:val="0"/>
          <w:sz w:val="34"/>
          <w:szCs w:val="34"/>
          <w:lang w:eastAsia="zh-CN"/>
        </w:rPr>
        <w:t>）</w:t>
      </w:r>
      <w:r>
        <w:rPr>
          <w:rFonts w:hint="eastAsia"/>
          <w:spacing w:val="0"/>
          <w:sz w:val="34"/>
          <w:szCs w:val="34"/>
        </w:rPr>
        <w:t>监督和支持政法各部门依法行使职权，指导和协调政法各部门密切配合，研究和协调重大、疑难案件，推进严格执法、公正司法。</w:t>
      </w:r>
    </w:p>
    <w:p w14:paraId="70AFA822">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jc w:val="both"/>
        <w:textAlignment w:val="baseline"/>
        <w:rPr>
          <w:rFonts w:hint="eastAsia"/>
          <w:spacing w:val="0"/>
          <w:sz w:val="34"/>
          <w:szCs w:val="34"/>
        </w:rPr>
      </w:pPr>
      <w:r>
        <w:rPr>
          <w:rFonts w:hint="eastAsia"/>
          <w:spacing w:val="0"/>
          <w:sz w:val="34"/>
          <w:szCs w:val="34"/>
        </w:rPr>
        <w:t>　　</w:t>
      </w:r>
      <w:r>
        <w:rPr>
          <w:rFonts w:hint="eastAsia"/>
          <w:spacing w:val="0"/>
          <w:sz w:val="34"/>
          <w:szCs w:val="34"/>
          <w:lang w:eastAsia="zh-CN"/>
        </w:rPr>
        <w:t>（</w:t>
      </w:r>
      <w:r>
        <w:rPr>
          <w:rFonts w:hint="eastAsia"/>
          <w:spacing w:val="0"/>
          <w:sz w:val="34"/>
          <w:szCs w:val="34"/>
          <w:lang w:val="en-US" w:eastAsia="zh-CN"/>
        </w:rPr>
        <w:t>九</w:t>
      </w:r>
      <w:r>
        <w:rPr>
          <w:rFonts w:hint="eastAsia"/>
          <w:spacing w:val="0"/>
          <w:sz w:val="34"/>
          <w:szCs w:val="34"/>
          <w:lang w:eastAsia="zh-CN"/>
        </w:rPr>
        <w:t>）</w:t>
      </w:r>
      <w:r>
        <w:rPr>
          <w:rFonts w:hint="eastAsia"/>
          <w:spacing w:val="0"/>
          <w:sz w:val="34"/>
          <w:szCs w:val="34"/>
        </w:rPr>
        <w:t>组织研究政法改革中带有方向性、倾向性和普遍性的重大问题，贯彻中央深化政法改革的决定和精神及省、市委具体要求。承担市司法体制改革领导小组和社会体制改革专项小组日常工作。</w:t>
      </w:r>
    </w:p>
    <w:p w14:paraId="06C40575">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0" w:firstLineChars="0"/>
        <w:jc w:val="both"/>
        <w:textAlignment w:val="baseline"/>
        <w:rPr>
          <w:rFonts w:hint="eastAsia"/>
          <w:spacing w:val="0"/>
          <w:sz w:val="34"/>
          <w:szCs w:val="34"/>
        </w:rPr>
      </w:pPr>
      <w:r>
        <w:rPr>
          <w:rFonts w:hint="eastAsia"/>
          <w:spacing w:val="0"/>
          <w:sz w:val="34"/>
          <w:szCs w:val="34"/>
        </w:rPr>
        <w:t>　　</w:t>
      </w:r>
      <w:r>
        <w:rPr>
          <w:rFonts w:hint="eastAsia"/>
          <w:spacing w:val="0"/>
          <w:sz w:val="34"/>
          <w:szCs w:val="34"/>
          <w:lang w:eastAsia="zh-CN"/>
        </w:rPr>
        <w:t>（</w:t>
      </w:r>
      <w:r>
        <w:rPr>
          <w:rFonts w:hint="eastAsia"/>
          <w:spacing w:val="0"/>
          <w:sz w:val="34"/>
          <w:szCs w:val="34"/>
          <w:lang w:val="en-US" w:eastAsia="zh-CN"/>
        </w:rPr>
        <w:t>十</w:t>
      </w:r>
      <w:r>
        <w:rPr>
          <w:rFonts w:hint="eastAsia"/>
          <w:spacing w:val="0"/>
          <w:sz w:val="34"/>
          <w:szCs w:val="34"/>
          <w:lang w:eastAsia="zh-CN"/>
        </w:rPr>
        <w:t>）</w:t>
      </w:r>
      <w:r>
        <w:rPr>
          <w:rFonts w:hint="eastAsia"/>
          <w:spacing w:val="0"/>
          <w:sz w:val="34"/>
          <w:szCs w:val="34"/>
        </w:rPr>
        <w:t>贯彻落实中央关于国家安全工作的决策部署和省、市委的具体安排，建立健全国家安全工作机制，分析研判涉国家安全情报信息，及时报送涉国家安全的综合性情况和动态信息。</w:t>
      </w:r>
    </w:p>
    <w:p w14:paraId="3A2DF7C9">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677"/>
        <w:jc w:val="both"/>
        <w:textAlignment w:val="baseline"/>
        <w:rPr>
          <w:rFonts w:ascii="黑体" w:cs="黑体" w:eastAsia="黑体" w:hAnsi="黑体"/>
          <w:spacing w:val="0"/>
          <w:sz w:val="34"/>
          <w:szCs w:val="34"/>
        </w:rPr>
      </w:pPr>
      <w:r>
        <w:rPr>
          <w:rFonts w:ascii="黑体" w:cs="黑体" w:eastAsia="黑体" w:hAnsi="黑体"/>
          <w:spacing w:val="0"/>
          <w:sz w:val="34"/>
          <w:szCs w:val="34"/>
        </w:rPr>
        <w:t>二、机构设置</w:t>
      </w:r>
    </w:p>
    <w:p w14:paraId="77DFA53A">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370" w:leftChars="176" w:right="304" w:firstLine="710" w:firstLineChars="208"/>
        <w:jc w:val="both"/>
        <w:textAlignment w:val="baseline"/>
        <w:rPr>
          <w:spacing w:val="0"/>
          <w:sz w:val="34"/>
          <w:szCs w:val="34"/>
        </w:rPr>
      </w:pPr>
      <w:r>
        <w:rPr>
          <w:b/>
          <w:bCs/>
          <w:spacing w:val="0"/>
          <w:sz w:val="34"/>
          <w:szCs w:val="34"/>
        </w:rPr>
        <w:t>纳入</w:t>
      </w:r>
      <w:r>
        <w:rPr>
          <w:rFonts w:hint="eastAsia"/>
          <w:b/>
          <w:bCs/>
          <w:spacing w:val="0"/>
          <w:sz w:val="34"/>
          <w:szCs w:val="34"/>
          <w:lang w:eastAsia="zh-CN"/>
        </w:rPr>
        <w:t>阜新</w:t>
      </w:r>
      <w:r>
        <w:rPr>
          <w:rFonts w:hint="eastAsia"/>
          <w:b/>
          <w:bCs/>
          <w:spacing w:val="0"/>
          <w:sz w:val="34"/>
          <w:szCs w:val="34"/>
          <w:lang w:val="en-US" w:eastAsia="zh-CN"/>
        </w:rPr>
        <w:t>市委政法委2025</w:t>
      </w:r>
      <w:r>
        <w:rPr>
          <w:b/>
          <w:bCs/>
          <w:spacing w:val="0"/>
          <w:sz w:val="34"/>
          <w:szCs w:val="34"/>
        </w:rPr>
        <w:t>年部门预算编制范围的预算单位包括：</w:t>
      </w:r>
    </w:p>
    <w:p w14:paraId="437FF4AC">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680" w:firstLineChars="200"/>
        <w:jc w:val="both"/>
        <w:textAlignment w:val="baseline"/>
        <w:rPr>
          <w:rFonts w:hint="eastAsia"/>
          <w:spacing w:val="0"/>
          <w:sz w:val="34"/>
          <w:szCs w:val="34"/>
        </w:rPr>
      </w:pPr>
      <w:r>
        <w:rPr>
          <w:rFonts w:hint="eastAsia"/>
          <w:spacing w:val="0"/>
          <w:sz w:val="34"/>
          <w:szCs w:val="34"/>
        </w:rPr>
        <w:t>中共阜新市委政法委员会本级</w:t>
      </w:r>
    </w:p>
    <w:p w14:paraId="2110FFB5">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680" w:firstLineChars="200"/>
        <w:jc w:val="both"/>
        <w:textAlignment w:val="baseline"/>
        <w:rPr>
          <w:rFonts w:hint="default"/>
          <w:spacing w:val="0"/>
          <w:sz w:val="34"/>
          <w:szCs w:val="34"/>
          <w:lang w:val="en-US" w:eastAsia="zh-CN"/>
        </w:rPr>
      </w:pPr>
      <w:r>
        <w:rPr>
          <w:rFonts w:hint="eastAsia"/>
          <w:spacing w:val="0"/>
          <w:sz w:val="34"/>
          <w:szCs w:val="34"/>
          <w:lang w:val="en-US" w:eastAsia="zh-CN"/>
        </w:rPr>
        <w:t>阜新市法学会</w:t>
      </w:r>
      <w:bookmarkStart w:id="0" w:name="_GoBack"/>
      <w:bookmarkEnd w:id="0"/>
    </w:p>
    <w:p w14:paraId="70EF6AB1">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jc w:val="both"/>
        <w:textAlignment w:val="baseline"/>
        <w:outlineLvl w:val="2"/>
        <w:rPr>
          <w:rFonts w:ascii="宋体" w:cs="宋体" w:eastAsia="宋体" w:hAnsi="宋体"/>
          <w:spacing w:val="0"/>
          <w:sz w:val="34"/>
          <w:szCs w:val="34"/>
        </w:rPr>
      </w:pPr>
      <w:r>
        <w:rPr>
          <w:rFonts w:ascii="宋体" w:cs="宋体" w:eastAsia="宋体" w:hAnsi="宋体"/>
          <w:b/>
          <w:bCs/>
          <w:spacing w:val="0"/>
          <w:sz w:val="34"/>
          <w:szCs w:val="34"/>
        </w:rPr>
        <w:t>第</w:t>
      </w:r>
      <w:r>
        <w:rPr>
          <w:rFonts w:ascii="宋体" w:cs="宋体" w:eastAsia="宋体" w:hAnsi="宋体" w:hint="eastAsia"/>
          <w:b/>
          <w:bCs/>
          <w:spacing w:val="0"/>
          <w:sz w:val="34"/>
          <w:szCs w:val="34"/>
          <w:lang w:eastAsia="zh-CN"/>
        </w:rPr>
        <w:t>二</w:t>
      </w:r>
      <w:r>
        <w:rPr>
          <w:rFonts w:ascii="宋体" w:cs="宋体" w:eastAsia="宋体" w:hAnsi="宋体"/>
          <w:b/>
          <w:bCs/>
          <w:spacing w:val="0"/>
          <w:sz w:val="34"/>
          <w:szCs w:val="34"/>
        </w:rPr>
        <w:t>部分</w:t>
      </w:r>
      <w:r>
        <w:rPr>
          <w:rFonts w:ascii="宋体" w:cs="宋体" w:eastAsia="宋体" w:hAnsi="宋体"/>
          <w:spacing w:val="0"/>
          <w:sz w:val="34"/>
          <w:szCs w:val="34"/>
        </w:rPr>
        <w:t xml:space="preserve"> </w:t>
      </w:r>
      <w:r>
        <w:rPr>
          <w:rFonts w:ascii="宋体" w:cs="宋体" w:eastAsia="宋体" w:hAnsi="宋体" w:hint="eastAsia"/>
          <w:b/>
          <w:bCs/>
          <w:spacing w:val="0"/>
          <w:sz w:val="34"/>
          <w:szCs w:val="34"/>
          <w:lang w:eastAsia="zh-CN"/>
        </w:rPr>
        <w:t>阜新</w:t>
      </w:r>
      <w:r>
        <w:rPr>
          <w:rFonts w:ascii="宋体" w:cs="宋体" w:eastAsia="宋体" w:hAnsi="宋体" w:hint="eastAsia"/>
          <w:b/>
          <w:bCs/>
          <w:spacing w:val="0"/>
          <w:sz w:val="34"/>
          <w:szCs w:val="34"/>
          <w:lang w:val="en-US" w:eastAsia="zh-CN"/>
        </w:rPr>
        <w:t>市委政法委2025</w:t>
      </w:r>
      <w:r>
        <w:rPr>
          <w:rFonts w:ascii="宋体" w:cs="宋体" w:eastAsia="宋体" w:hAnsi="宋体"/>
          <w:b/>
          <w:bCs/>
          <w:spacing w:val="0"/>
          <w:sz w:val="34"/>
          <w:szCs w:val="34"/>
        </w:rPr>
        <w:t>年部门预算情况说明</w:t>
      </w:r>
    </w:p>
    <w:p w14:paraId="79E21913">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jc w:val="both"/>
        <w:textAlignment w:val="baseline"/>
        <w:rPr>
          <w:rFonts w:ascii="Arial"/>
          <w:spacing w:val="0"/>
          <w:sz w:val="34"/>
          <w:szCs w:val="34"/>
        </w:rPr>
      </w:pPr>
    </w:p>
    <w:p w14:paraId="7103F904">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662"/>
        <w:jc w:val="both"/>
        <w:textAlignment w:val="baseline"/>
        <w:rPr>
          <w:rFonts w:ascii="黑体" w:cs="黑体" w:eastAsia="黑体" w:hAnsi="黑体"/>
          <w:spacing w:val="0"/>
          <w:sz w:val="34"/>
          <w:szCs w:val="34"/>
        </w:rPr>
      </w:pPr>
      <w:r>
        <w:rPr>
          <w:rFonts w:ascii="黑体" w:cs="黑体" w:eastAsia="黑体" w:hAnsi="黑体"/>
          <w:spacing w:val="0"/>
          <w:sz w:val="34"/>
          <w:szCs w:val="34"/>
        </w:rPr>
        <w:t>一、综合预算收支指标情况</w:t>
      </w:r>
    </w:p>
    <w:p w14:paraId="4C1B852F">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709"/>
        <w:jc w:val="both"/>
        <w:textAlignment w:val="baseline"/>
        <w:rPr>
          <w:spacing w:val="0"/>
          <w:sz w:val="34"/>
          <w:szCs w:val="34"/>
        </w:rPr>
      </w:pPr>
      <w:r>
        <w:rPr>
          <w:rFonts w:ascii="楷体" w:cs="楷体" w:eastAsia="楷体" w:hAnsi="楷体"/>
          <w:b/>
          <w:bCs/>
          <w:spacing w:val="0"/>
          <w:sz w:val="34"/>
          <w:szCs w:val="34"/>
        </w:rPr>
        <w:t>（一）收入预算</w:t>
      </w:r>
      <w:r>
        <w:rPr>
          <w:rFonts w:ascii="楷体" w:cs="楷体" w:eastAsia="楷体" w:hAnsi="楷体"/>
          <w:spacing w:val="0"/>
          <w:sz w:val="34"/>
          <w:szCs w:val="34"/>
        </w:rPr>
        <w:t xml:space="preserve"> </w:t>
      </w:r>
      <w:r>
        <w:rPr>
          <w:rFonts w:ascii="楷体" w:cs="楷体" w:eastAsia="楷体" w:hAnsi="楷体" w:hint="eastAsia"/>
          <w:b/>
          <w:bCs/>
          <w:spacing w:val="0"/>
          <w:sz w:val="34"/>
          <w:szCs w:val="34"/>
          <w:lang w:val="en-US" w:eastAsia="zh-CN"/>
        </w:rPr>
        <w:t>560.29</w:t>
      </w:r>
      <w:r>
        <w:rPr>
          <w:rFonts w:ascii="楷体" w:cs="楷体" w:eastAsia="楷体" w:hAnsi="楷体"/>
          <w:b/>
          <w:bCs/>
          <w:spacing w:val="0"/>
          <w:sz w:val="34"/>
          <w:szCs w:val="34"/>
        </w:rPr>
        <w:t>万元，</w:t>
      </w:r>
      <w:r>
        <w:rPr>
          <w:spacing w:val="0"/>
          <w:sz w:val="34"/>
          <w:szCs w:val="34"/>
        </w:rPr>
        <w:t>其中：</w:t>
      </w:r>
    </w:p>
    <w:p w14:paraId="4356455D">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680" w:firstLineChars="200"/>
        <w:jc w:val="both"/>
        <w:textAlignment w:val="baseline"/>
        <w:rPr>
          <w:spacing w:val="0"/>
          <w:sz w:val="34"/>
          <w:szCs w:val="34"/>
        </w:rPr>
      </w:pPr>
      <w:r>
        <w:rPr>
          <w:spacing w:val="0"/>
          <w:sz w:val="34"/>
          <w:szCs w:val="34"/>
        </w:rPr>
        <w:t>1.一般公共预算拨款收入</w:t>
      </w:r>
      <w:r>
        <w:rPr>
          <w:rFonts w:hint="eastAsia"/>
          <w:spacing w:val="0"/>
          <w:sz w:val="34"/>
          <w:szCs w:val="34"/>
          <w:lang w:val="en-US" w:eastAsia="zh-CN"/>
        </w:rPr>
        <w:t>560.29</w:t>
      </w:r>
      <w:r>
        <w:rPr>
          <w:spacing w:val="0"/>
          <w:sz w:val="34"/>
          <w:szCs w:val="34"/>
        </w:rPr>
        <w:t>万元；</w:t>
      </w:r>
    </w:p>
    <w:p w14:paraId="01E64F20">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680" w:firstLineChars="200"/>
        <w:jc w:val="both"/>
        <w:textAlignment w:val="baseline"/>
        <w:rPr>
          <w:spacing w:val="0"/>
          <w:sz w:val="34"/>
          <w:szCs w:val="34"/>
        </w:rPr>
      </w:pPr>
      <w:r>
        <w:rPr>
          <w:spacing w:val="0"/>
          <w:sz w:val="34"/>
          <w:szCs w:val="34"/>
        </w:rPr>
        <w:t xml:space="preserve">2.政府性基金预算拨款收入 </w:t>
      </w:r>
      <w:r>
        <w:rPr>
          <w:rFonts w:hint="eastAsia"/>
          <w:spacing w:val="0"/>
          <w:sz w:val="34"/>
          <w:szCs w:val="34"/>
          <w:lang w:val="en-US" w:eastAsia="zh-CN"/>
        </w:rPr>
        <w:t>0</w:t>
      </w:r>
      <w:r>
        <w:rPr>
          <w:spacing w:val="0"/>
          <w:sz w:val="34"/>
          <w:szCs w:val="34"/>
        </w:rPr>
        <w:t>万元；</w:t>
      </w:r>
    </w:p>
    <w:p w14:paraId="11A3AF55">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680" w:firstLineChars="200"/>
        <w:jc w:val="both"/>
        <w:textAlignment w:val="baseline"/>
        <w:rPr>
          <w:spacing w:val="0"/>
          <w:sz w:val="34"/>
          <w:szCs w:val="34"/>
        </w:rPr>
      </w:pPr>
      <w:r>
        <w:rPr>
          <w:spacing w:val="0"/>
          <w:sz w:val="34"/>
          <w:szCs w:val="34"/>
        </w:rPr>
        <w:t xml:space="preserve">3.国有资本经营预算拨款收入 </w:t>
      </w:r>
      <w:r>
        <w:rPr>
          <w:rFonts w:hint="eastAsia"/>
          <w:spacing w:val="0"/>
          <w:sz w:val="34"/>
          <w:szCs w:val="34"/>
          <w:lang w:val="en-US" w:eastAsia="zh-CN"/>
        </w:rPr>
        <w:t>0</w:t>
      </w:r>
      <w:r>
        <w:rPr>
          <w:spacing w:val="0"/>
          <w:sz w:val="34"/>
          <w:szCs w:val="34"/>
        </w:rPr>
        <w:t>万元；</w:t>
      </w:r>
    </w:p>
    <w:p w14:paraId="59631FEA">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680" w:firstLineChars="200"/>
        <w:jc w:val="both"/>
        <w:textAlignment w:val="baseline"/>
        <w:rPr>
          <w:spacing w:val="0"/>
          <w:sz w:val="34"/>
          <w:szCs w:val="34"/>
        </w:rPr>
      </w:pPr>
      <w:r>
        <w:rPr>
          <w:spacing w:val="0"/>
          <w:sz w:val="34"/>
          <w:szCs w:val="34"/>
        </w:rPr>
        <w:t>4.财政专户管理资金收入</w:t>
      </w:r>
      <w:r>
        <w:rPr>
          <w:rFonts w:hint="eastAsia"/>
          <w:spacing w:val="0"/>
          <w:sz w:val="34"/>
          <w:szCs w:val="34"/>
          <w:lang w:val="en-US" w:eastAsia="zh-CN"/>
        </w:rPr>
        <w:t>0</w:t>
      </w:r>
      <w:r>
        <w:rPr>
          <w:spacing w:val="0"/>
          <w:sz w:val="34"/>
          <w:szCs w:val="34"/>
        </w:rPr>
        <w:t>万元；</w:t>
      </w:r>
    </w:p>
    <w:p w14:paraId="49667CB2">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680" w:firstLineChars="200"/>
        <w:jc w:val="both"/>
        <w:textAlignment w:val="baseline"/>
        <w:rPr>
          <w:spacing w:val="0"/>
          <w:sz w:val="34"/>
          <w:szCs w:val="34"/>
        </w:rPr>
      </w:pPr>
      <w:r>
        <w:rPr>
          <w:spacing w:val="0"/>
          <w:sz w:val="34"/>
          <w:szCs w:val="34"/>
        </w:rPr>
        <w:t xml:space="preserve">5.单位资金收入 </w:t>
      </w:r>
      <w:r>
        <w:rPr>
          <w:rFonts w:hint="eastAsia"/>
          <w:spacing w:val="0"/>
          <w:sz w:val="34"/>
          <w:szCs w:val="34"/>
          <w:lang w:val="en-US" w:eastAsia="zh-CN"/>
        </w:rPr>
        <w:t>0</w:t>
      </w:r>
      <w:r>
        <w:rPr>
          <w:spacing w:val="0"/>
          <w:sz w:val="34"/>
          <w:szCs w:val="34"/>
        </w:rPr>
        <w:t xml:space="preserve">万元，其中：事业收入 </w:t>
      </w:r>
      <w:r>
        <w:rPr>
          <w:rFonts w:hint="eastAsia"/>
          <w:spacing w:val="0"/>
          <w:sz w:val="34"/>
          <w:szCs w:val="34"/>
          <w:lang w:val="en-US" w:eastAsia="zh-CN"/>
        </w:rPr>
        <w:t>0</w:t>
      </w:r>
      <w:r>
        <w:rPr>
          <w:spacing w:val="0"/>
          <w:sz w:val="34"/>
          <w:szCs w:val="34"/>
        </w:rPr>
        <w:t xml:space="preserve"> 万元，事 业单位经营收入</w:t>
      </w:r>
      <w:r>
        <w:rPr>
          <w:rFonts w:hint="eastAsia"/>
          <w:spacing w:val="0"/>
          <w:sz w:val="34"/>
          <w:szCs w:val="34"/>
          <w:lang w:val="en-US" w:eastAsia="zh-CN"/>
        </w:rPr>
        <w:t>0</w:t>
      </w:r>
      <w:r>
        <w:rPr>
          <w:spacing w:val="0"/>
          <w:sz w:val="34"/>
          <w:szCs w:val="34"/>
        </w:rPr>
        <w:t xml:space="preserve">万元，上级补助收入 </w:t>
      </w:r>
      <w:r>
        <w:rPr>
          <w:rFonts w:hint="eastAsia"/>
          <w:spacing w:val="0"/>
          <w:sz w:val="34"/>
          <w:szCs w:val="34"/>
          <w:lang w:val="en-US" w:eastAsia="zh-CN"/>
        </w:rPr>
        <w:t>0</w:t>
      </w:r>
      <w:r>
        <w:rPr>
          <w:spacing w:val="0"/>
          <w:sz w:val="34"/>
          <w:szCs w:val="34"/>
        </w:rPr>
        <w:t>万元，附属单位 上缴收入</w:t>
      </w:r>
      <w:r>
        <w:rPr>
          <w:rFonts w:hint="eastAsia"/>
          <w:spacing w:val="0"/>
          <w:sz w:val="34"/>
          <w:szCs w:val="34"/>
          <w:lang w:val="en-US" w:eastAsia="zh-CN"/>
        </w:rPr>
        <w:t>0</w:t>
      </w:r>
      <w:r>
        <w:rPr>
          <w:spacing w:val="0"/>
          <w:sz w:val="34"/>
          <w:szCs w:val="34"/>
        </w:rPr>
        <w:t>万元，其他收入</w:t>
      </w:r>
      <w:r>
        <w:rPr>
          <w:rFonts w:hint="eastAsia"/>
          <w:spacing w:val="0"/>
          <w:sz w:val="34"/>
          <w:szCs w:val="34"/>
          <w:lang w:val="en-US" w:eastAsia="zh-CN"/>
        </w:rPr>
        <w:t>0</w:t>
      </w:r>
      <w:r>
        <w:rPr>
          <w:spacing w:val="0"/>
          <w:sz w:val="34"/>
          <w:szCs w:val="34"/>
        </w:rPr>
        <w:t>万元；</w:t>
      </w:r>
    </w:p>
    <w:p w14:paraId="7C9B3309">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680" w:firstLineChars="200"/>
        <w:jc w:val="both"/>
        <w:textAlignment w:val="baseline"/>
        <w:rPr>
          <w:spacing w:val="0"/>
          <w:sz w:val="34"/>
          <w:szCs w:val="34"/>
        </w:rPr>
      </w:pPr>
      <w:r>
        <w:rPr>
          <w:spacing w:val="0"/>
          <w:sz w:val="34"/>
          <w:szCs w:val="34"/>
        </w:rPr>
        <w:t xml:space="preserve">6.上年结转结余 </w:t>
      </w:r>
      <w:r>
        <w:rPr>
          <w:rFonts w:hint="eastAsia"/>
          <w:spacing w:val="0"/>
          <w:sz w:val="34"/>
          <w:szCs w:val="34"/>
          <w:lang w:val="en-US" w:eastAsia="zh-CN"/>
        </w:rPr>
        <w:t>0</w:t>
      </w:r>
      <w:r>
        <w:rPr>
          <w:spacing w:val="0"/>
          <w:sz w:val="34"/>
          <w:szCs w:val="34"/>
        </w:rPr>
        <w:t xml:space="preserve"> 万元，其中上年财政专户管理资金 超收收入 </w:t>
      </w:r>
      <w:r>
        <w:rPr>
          <w:rFonts w:hint="eastAsia"/>
          <w:spacing w:val="0"/>
          <w:sz w:val="34"/>
          <w:szCs w:val="34"/>
          <w:lang w:val="en-US" w:eastAsia="zh-CN"/>
        </w:rPr>
        <w:t>0</w:t>
      </w:r>
      <w:r>
        <w:rPr>
          <w:spacing w:val="0"/>
          <w:sz w:val="34"/>
          <w:szCs w:val="34"/>
        </w:rPr>
        <w:t xml:space="preserve"> 万元，政府性基金预算超收收入 </w:t>
      </w:r>
      <w:r>
        <w:rPr>
          <w:rFonts w:hint="eastAsia"/>
          <w:spacing w:val="0"/>
          <w:sz w:val="34"/>
          <w:szCs w:val="34"/>
          <w:lang w:val="en-US" w:eastAsia="zh-CN"/>
        </w:rPr>
        <w:t>0</w:t>
      </w:r>
      <w:r>
        <w:rPr>
          <w:spacing w:val="0"/>
          <w:sz w:val="34"/>
          <w:szCs w:val="34"/>
        </w:rPr>
        <w:t xml:space="preserve"> 万元，单位 资金超收收入 </w:t>
      </w:r>
      <w:r>
        <w:rPr>
          <w:rFonts w:hint="eastAsia"/>
          <w:spacing w:val="0"/>
          <w:sz w:val="34"/>
          <w:szCs w:val="34"/>
          <w:lang w:val="en-US" w:eastAsia="zh-CN"/>
        </w:rPr>
        <w:t>0</w:t>
      </w:r>
      <w:r>
        <w:rPr>
          <w:spacing w:val="0"/>
          <w:sz w:val="34"/>
          <w:szCs w:val="34"/>
        </w:rPr>
        <w:t>万元。</w:t>
      </w:r>
    </w:p>
    <w:p w14:paraId="7D681532">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712"/>
        <w:jc w:val="both"/>
        <w:textAlignment w:val="baseline"/>
        <w:rPr>
          <w:spacing w:val="0"/>
          <w:sz w:val="34"/>
          <w:szCs w:val="34"/>
        </w:rPr>
      </w:pPr>
      <w:r>
        <w:rPr>
          <w:rFonts w:ascii="楷体" w:cs="楷体" w:eastAsia="楷体" w:hAnsi="楷体"/>
          <w:b/>
          <w:bCs/>
          <w:spacing w:val="0"/>
          <w:sz w:val="34"/>
          <w:szCs w:val="34"/>
        </w:rPr>
        <w:t>（二）支出预算</w:t>
      </w:r>
      <w:r>
        <w:rPr>
          <w:rFonts w:ascii="楷体" w:cs="楷体" w:eastAsia="楷体" w:hAnsi="楷体" w:hint="eastAsia"/>
          <w:b/>
          <w:bCs/>
          <w:spacing w:val="0"/>
          <w:sz w:val="34"/>
          <w:szCs w:val="34"/>
          <w:lang w:val="en-US" w:eastAsia="zh-CN"/>
        </w:rPr>
        <w:t>560.29</w:t>
      </w:r>
      <w:r>
        <w:rPr>
          <w:rFonts w:ascii="楷体" w:cs="楷体" w:eastAsia="楷体" w:hAnsi="楷体"/>
          <w:b/>
          <w:bCs/>
          <w:spacing w:val="0"/>
          <w:sz w:val="34"/>
          <w:szCs w:val="34"/>
        </w:rPr>
        <w:t>万元，</w:t>
      </w:r>
      <w:r>
        <w:rPr>
          <w:spacing w:val="0"/>
          <w:sz w:val="34"/>
          <w:szCs w:val="34"/>
        </w:rPr>
        <w:t>其中：</w:t>
      </w:r>
    </w:p>
    <w:p w14:paraId="7D90F7EF">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692"/>
        <w:jc w:val="both"/>
        <w:textAlignment w:val="baseline"/>
        <w:rPr>
          <w:spacing w:val="0"/>
          <w:sz w:val="34"/>
          <w:szCs w:val="34"/>
        </w:rPr>
      </w:pPr>
      <w:r>
        <w:rPr>
          <w:spacing w:val="0"/>
          <w:sz w:val="34"/>
          <w:szCs w:val="34"/>
        </w:rPr>
        <w:t>1.基本支出</w:t>
      </w:r>
      <w:r>
        <w:rPr>
          <w:rFonts w:hint="eastAsia"/>
          <w:spacing w:val="0"/>
          <w:sz w:val="34"/>
          <w:szCs w:val="34"/>
          <w:lang w:val="en-US" w:eastAsia="zh-CN"/>
        </w:rPr>
        <w:t>558.29</w:t>
      </w:r>
      <w:r>
        <w:rPr>
          <w:spacing w:val="0"/>
          <w:sz w:val="34"/>
          <w:szCs w:val="34"/>
        </w:rPr>
        <w:t>万元；</w:t>
      </w:r>
    </w:p>
    <w:p w14:paraId="3E2C9D2A">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692"/>
        <w:jc w:val="both"/>
        <w:textAlignment w:val="baseline"/>
        <w:rPr>
          <w:spacing w:val="0"/>
          <w:sz w:val="34"/>
          <w:szCs w:val="34"/>
        </w:rPr>
      </w:pPr>
      <w:r>
        <w:rPr>
          <w:spacing w:val="0"/>
          <w:sz w:val="34"/>
          <w:szCs w:val="34"/>
        </w:rPr>
        <w:t>2.项目支出</w:t>
      </w:r>
      <w:r>
        <w:rPr>
          <w:rFonts w:hint="eastAsia"/>
          <w:spacing w:val="0"/>
          <w:sz w:val="34"/>
          <w:szCs w:val="34"/>
          <w:lang w:val="en-US" w:eastAsia="zh-CN"/>
        </w:rPr>
        <w:t>2</w:t>
      </w:r>
      <w:r>
        <w:rPr>
          <w:spacing w:val="0"/>
          <w:sz w:val="34"/>
          <w:szCs w:val="34"/>
        </w:rPr>
        <w:t>万元。</w:t>
      </w:r>
    </w:p>
    <w:p w14:paraId="4C5771AB">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24" w:firstLine="651"/>
        <w:jc w:val="left"/>
        <w:textAlignment w:val="baseline"/>
        <w:rPr>
          <w:spacing w:val="0"/>
          <w:sz w:val="34"/>
          <w:szCs w:val="34"/>
        </w:rPr>
      </w:pPr>
      <w:r>
        <w:rPr>
          <w:spacing w:val="0"/>
          <w:sz w:val="34"/>
          <w:szCs w:val="34"/>
        </w:rPr>
        <w:t>在支出预算中债务支出</w:t>
      </w:r>
      <w:r>
        <w:rPr>
          <w:rFonts w:hint="eastAsia"/>
          <w:spacing w:val="0"/>
          <w:sz w:val="34"/>
          <w:szCs w:val="34"/>
          <w:lang w:val="en-US" w:eastAsia="zh-CN"/>
        </w:rPr>
        <w:t>0</w:t>
      </w:r>
      <w:r>
        <w:rPr>
          <w:spacing w:val="0"/>
          <w:sz w:val="34"/>
          <w:szCs w:val="34"/>
        </w:rPr>
        <w:t>万元</w:t>
      </w:r>
      <w:r>
        <w:rPr>
          <w:rFonts w:hint="eastAsia"/>
          <w:spacing w:val="0"/>
          <w:sz w:val="34"/>
          <w:szCs w:val="34"/>
          <w:lang w:eastAsia="zh-CN"/>
        </w:rPr>
        <w:t>；</w:t>
      </w:r>
      <w:r>
        <w:rPr>
          <w:spacing w:val="0"/>
          <w:sz w:val="34"/>
          <w:szCs w:val="34"/>
        </w:rPr>
        <w:t>政府采购支出</w:t>
      </w:r>
      <w:r>
        <w:rPr>
          <w:rFonts w:hint="eastAsia"/>
          <w:spacing w:val="0"/>
          <w:sz w:val="34"/>
          <w:szCs w:val="34"/>
          <w:lang w:val="en-US" w:eastAsia="zh-CN"/>
        </w:rPr>
        <w:t>0</w:t>
      </w:r>
      <w:r>
        <w:rPr>
          <w:spacing w:val="0"/>
          <w:sz w:val="34"/>
          <w:szCs w:val="34"/>
        </w:rPr>
        <w:t>万元；政府购买服务支出</w:t>
      </w:r>
      <w:r>
        <w:rPr>
          <w:rFonts w:hint="eastAsia"/>
          <w:spacing w:val="0"/>
          <w:sz w:val="34"/>
          <w:szCs w:val="34"/>
          <w:lang w:val="en-US" w:eastAsia="zh-CN"/>
        </w:rPr>
        <w:t>0</w:t>
      </w:r>
      <w:r>
        <w:rPr>
          <w:spacing w:val="0"/>
          <w:sz w:val="34"/>
          <w:szCs w:val="34"/>
        </w:rPr>
        <w:t>万元；纳入预算绩效管理的特定目标类和其他运转类项目共</w:t>
      </w:r>
      <w:r>
        <w:rPr>
          <w:rFonts w:hint="eastAsia"/>
          <w:spacing w:val="0"/>
          <w:sz w:val="34"/>
          <w:szCs w:val="34"/>
          <w:lang w:val="en-US" w:eastAsia="zh-CN"/>
        </w:rPr>
        <w:t>1</w:t>
      </w:r>
      <w:r>
        <w:rPr>
          <w:spacing w:val="0"/>
          <w:sz w:val="34"/>
          <w:szCs w:val="34"/>
        </w:rPr>
        <w:t>个，涉及资金</w:t>
      </w:r>
      <w:r>
        <w:rPr>
          <w:rFonts w:hint="eastAsia"/>
          <w:spacing w:val="0"/>
          <w:sz w:val="34"/>
          <w:szCs w:val="34"/>
          <w:lang w:val="en-US" w:eastAsia="zh-CN"/>
        </w:rPr>
        <w:t>2</w:t>
      </w:r>
      <w:r>
        <w:rPr>
          <w:spacing w:val="0"/>
          <w:sz w:val="34"/>
          <w:szCs w:val="34"/>
        </w:rPr>
        <w:t>万元。</w:t>
      </w:r>
    </w:p>
    <w:p w14:paraId="3758DDA8">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41" w:right="12" w:firstLine="624"/>
        <w:jc w:val="both"/>
        <w:textAlignment w:val="baseline"/>
        <w:rPr>
          <w:rFonts w:ascii="黑体" w:cs="黑体" w:eastAsia="黑体" w:hAnsi="黑体"/>
          <w:spacing w:val="0"/>
          <w:sz w:val="34"/>
          <w:szCs w:val="34"/>
        </w:rPr>
      </w:pPr>
      <w:r>
        <w:rPr>
          <w:rFonts w:ascii="黑体" w:cs="黑体" w:eastAsia="黑体" w:hAnsi="黑体" w:hint="eastAsia"/>
          <w:spacing w:val="0"/>
          <w:sz w:val="34"/>
          <w:szCs w:val="34"/>
          <w:lang w:val="en-US" w:eastAsia="zh-CN"/>
        </w:rPr>
        <w:t>2025</w:t>
      </w:r>
      <w:r>
        <w:rPr>
          <w:rFonts w:ascii="黑体" w:cs="黑体" w:eastAsia="黑体" w:hAnsi="黑体"/>
          <w:spacing w:val="0"/>
          <w:sz w:val="34"/>
          <w:szCs w:val="34"/>
        </w:rPr>
        <w:t>年预算收支比上年减少</w:t>
      </w:r>
      <w:r>
        <w:rPr>
          <w:rFonts w:ascii="黑体" w:cs="黑体" w:eastAsia="黑体" w:hAnsi="黑体" w:hint="eastAsia"/>
          <w:spacing w:val="0"/>
          <w:sz w:val="34"/>
          <w:szCs w:val="34"/>
          <w:lang w:val="en-US" w:eastAsia="zh-CN"/>
        </w:rPr>
        <w:t>230.65</w:t>
      </w:r>
      <w:r>
        <w:rPr>
          <w:rFonts w:ascii="黑体" w:cs="黑体" w:eastAsia="黑体" w:hAnsi="黑体"/>
          <w:spacing w:val="0"/>
          <w:sz w:val="34"/>
          <w:szCs w:val="34"/>
        </w:rPr>
        <w:t xml:space="preserve"> 万元，增减变化的主要原因为</w:t>
      </w:r>
      <w:r>
        <w:rPr>
          <w:rFonts w:ascii="黑体" w:cs="黑体" w:eastAsia="黑体" w:hAnsi="黑体" w:hint="eastAsia"/>
          <w:spacing w:val="0"/>
          <w:sz w:val="34"/>
          <w:szCs w:val="34"/>
          <w:lang w:val="en-US" w:eastAsia="zh-CN"/>
        </w:rPr>
        <w:t>人员调出</w:t>
      </w:r>
      <w:r>
        <w:rPr>
          <w:rFonts w:ascii="黑体" w:cs="黑体" w:eastAsia="黑体" w:hAnsi="黑体"/>
          <w:spacing w:val="0"/>
          <w:sz w:val="34"/>
          <w:szCs w:val="34"/>
        </w:rPr>
        <w:t>。</w:t>
      </w:r>
    </w:p>
    <w:p w14:paraId="7250176B">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677"/>
        <w:jc w:val="both"/>
        <w:textAlignment w:val="baseline"/>
        <w:rPr>
          <w:rFonts w:ascii="黑体" w:cs="黑体" w:eastAsia="黑体" w:hAnsi="黑体"/>
          <w:spacing w:val="0"/>
          <w:sz w:val="34"/>
          <w:szCs w:val="34"/>
        </w:rPr>
      </w:pPr>
      <w:r>
        <w:rPr>
          <w:rFonts w:ascii="黑体" w:cs="黑体" w:eastAsia="黑体" w:hAnsi="黑体"/>
          <w:spacing w:val="0"/>
          <w:sz w:val="34"/>
          <w:szCs w:val="34"/>
        </w:rPr>
        <w:t>二、部门管理专项资金情况</w:t>
      </w:r>
    </w:p>
    <w:p w14:paraId="725F864C">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680" w:firstLineChars="200"/>
        <w:jc w:val="both"/>
        <w:textAlignment w:val="baseline"/>
        <w:rPr>
          <w:rFonts w:hint="eastAsia"/>
          <w:spacing w:val="0"/>
          <w:sz w:val="34"/>
          <w:szCs w:val="34"/>
          <w:lang w:val="en-US" w:eastAsia="zh-CN"/>
        </w:rPr>
      </w:pPr>
      <w:r>
        <w:rPr>
          <w:rFonts w:hint="eastAsia"/>
          <w:spacing w:val="0"/>
          <w:sz w:val="34"/>
          <w:szCs w:val="34"/>
          <w:lang w:val="en-US" w:eastAsia="zh-CN"/>
        </w:rPr>
        <w:t>2025年，阜新市委政法委专项资金共1个，涉及资金2万元。其中：市政法委工作业务经费2万元。</w:t>
      </w:r>
    </w:p>
    <w:p w14:paraId="37C386F9">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673"/>
        <w:jc w:val="both"/>
        <w:textAlignment w:val="baseline"/>
        <w:rPr>
          <w:rFonts w:ascii="黑体" w:cs="黑体" w:eastAsia="黑体" w:hAnsi="黑体"/>
          <w:spacing w:val="0"/>
          <w:sz w:val="34"/>
          <w:szCs w:val="34"/>
        </w:rPr>
      </w:pPr>
      <w:r>
        <w:rPr>
          <w:rFonts w:ascii="黑体" w:cs="黑体" w:eastAsia="黑体" w:hAnsi="黑体"/>
          <w:spacing w:val="0"/>
          <w:sz w:val="34"/>
          <w:szCs w:val="34"/>
        </w:rPr>
        <w:t>三、机关运行经费安排情况</w:t>
      </w:r>
    </w:p>
    <w:p w14:paraId="3168658E">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0" w:firstLine="680" w:firstLineChars="200"/>
        <w:jc w:val="both"/>
        <w:textAlignment w:val="baseline"/>
        <w:rPr>
          <w:rFonts w:hint="eastAsia"/>
          <w:spacing w:val="0"/>
          <w:sz w:val="34"/>
          <w:szCs w:val="34"/>
          <w:lang w:val="en-US" w:eastAsia="zh-CN"/>
        </w:rPr>
      </w:pPr>
      <w:r>
        <w:rPr>
          <w:rFonts w:hint="eastAsia"/>
          <w:spacing w:val="0"/>
          <w:sz w:val="34"/>
          <w:szCs w:val="34"/>
          <w:lang w:val="en-US" w:eastAsia="zh-CN"/>
        </w:rPr>
        <w:t>2025年阜新市委政法委机关运行经费预算为558.29万元，主要包括人员经费532.34万元，公用经费25.95万元。</w:t>
      </w:r>
    </w:p>
    <w:p w14:paraId="42008B4F">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702"/>
        <w:jc w:val="both"/>
        <w:textAlignment w:val="baseline"/>
        <w:rPr>
          <w:rFonts w:ascii="黑体" w:cs="黑体" w:eastAsia="黑体" w:hAnsi="黑体"/>
          <w:spacing w:val="0"/>
          <w:sz w:val="34"/>
          <w:szCs w:val="34"/>
        </w:rPr>
      </w:pPr>
      <w:r>
        <w:rPr>
          <w:rFonts w:ascii="黑体" w:cs="黑体" w:eastAsia="黑体" w:hAnsi="黑体"/>
          <w:spacing w:val="0"/>
          <w:sz w:val="34"/>
          <w:szCs w:val="34"/>
        </w:rPr>
        <w:t>四、政府采购情况</w:t>
      </w:r>
    </w:p>
    <w:p w14:paraId="2BB6B255">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26" w:right="7" w:firstLine="662"/>
        <w:jc w:val="both"/>
        <w:textAlignment w:val="baseline"/>
        <w:rPr>
          <w:spacing w:val="0"/>
          <w:sz w:val="34"/>
          <w:szCs w:val="34"/>
        </w:rPr>
      </w:pPr>
      <w:r>
        <w:rPr>
          <w:rFonts w:hint="eastAsia"/>
          <w:spacing w:val="0"/>
          <w:sz w:val="34"/>
          <w:szCs w:val="34"/>
          <w:lang w:val="en-US" w:eastAsia="zh-CN"/>
        </w:rPr>
        <w:t>2025</w:t>
      </w:r>
      <w:r>
        <w:rPr>
          <w:spacing w:val="0"/>
          <w:sz w:val="34"/>
          <w:szCs w:val="34"/>
        </w:rPr>
        <w:t>年</w:t>
      </w:r>
      <w:r>
        <w:rPr>
          <w:rFonts w:hint="eastAsia"/>
          <w:spacing w:val="0"/>
          <w:sz w:val="34"/>
          <w:szCs w:val="34"/>
          <w:lang w:eastAsia="zh-CN"/>
        </w:rPr>
        <w:t>阜新</w:t>
      </w:r>
      <w:r>
        <w:rPr>
          <w:rFonts w:hint="eastAsia"/>
          <w:spacing w:val="0"/>
          <w:sz w:val="34"/>
          <w:szCs w:val="34"/>
          <w:lang w:val="en-US" w:eastAsia="zh-CN"/>
        </w:rPr>
        <w:t>市委政法委</w:t>
      </w:r>
      <w:r>
        <w:rPr>
          <w:spacing w:val="0"/>
          <w:sz w:val="34"/>
          <w:szCs w:val="34"/>
        </w:rPr>
        <w:t>安排政府采购预算</w:t>
      </w:r>
      <w:r>
        <w:rPr>
          <w:rFonts w:hint="eastAsia"/>
          <w:spacing w:val="0"/>
          <w:sz w:val="34"/>
          <w:szCs w:val="34"/>
          <w:lang w:val="en-US" w:eastAsia="zh-CN"/>
        </w:rPr>
        <w:t>0</w:t>
      </w:r>
      <w:r>
        <w:rPr>
          <w:spacing w:val="0"/>
          <w:sz w:val="34"/>
          <w:szCs w:val="34"/>
        </w:rPr>
        <w:t>万元。</w:t>
      </w:r>
    </w:p>
    <w:p w14:paraId="6F335A51">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692"/>
        <w:jc w:val="both"/>
        <w:textAlignment w:val="baseline"/>
        <w:rPr>
          <w:rFonts w:ascii="黑体" w:cs="黑体" w:eastAsia="黑体" w:hAnsi="黑体"/>
          <w:spacing w:val="0"/>
          <w:sz w:val="34"/>
          <w:szCs w:val="34"/>
        </w:rPr>
      </w:pPr>
      <w:r>
        <w:rPr>
          <w:rFonts w:ascii="黑体" w:cs="黑体" w:eastAsia="黑体" w:hAnsi="黑体"/>
          <w:spacing w:val="0"/>
          <w:sz w:val="34"/>
          <w:szCs w:val="34"/>
        </w:rPr>
        <w:t>五、“三公”经费预算情况</w:t>
      </w:r>
    </w:p>
    <w:p w14:paraId="6C670D3D">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27" w:right="4" w:firstLine="673"/>
        <w:jc w:val="both"/>
        <w:textAlignment w:val="baseline"/>
        <w:rPr>
          <w:rFonts w:eastAsia="FangSong_GB2312" w:hint="eastAsia"/>
          <w:spacing w:val="0"/>
          <w:sz w:val="34"/>
          <w:szCs w:val="34"/>
          <w:lang w:eastAsia="zh-CN"/>
        </w:rPr>
      </w:pPr>
      <w:r>
        <w:rPr>
          <w:rFonts w:hint="eastAsia"/>
          <w:spacing w:val="0"/>
          <w:sz w:val="34"/>
          <w:szCs w:val="34"/>
          <w:lang w:val="en-US" w:eastAsia="zh-CN"/>
        </w:rPr>
        <w:t>2025</w:t>
      </w:r>
      <w:r>
        <w:rPr>
          <w:spacing w:val="0"/>
          <w:sz w:val="34"/>
          <w:szCs w:val="34"/>
        </w:rPr>
        <w:t>年，</w:t>
      </w:r>
      <w:r>
        <w:rPr>
          <w:rFonts w:hint="eastAsia"/>
          <w:spacing w:val="0"/>
          <w:sz w:val="34"/>
          <w:szCs w:val="34"/>
          <w:lang w:eastAsia="zh-CN"/>
        </w:rPr>
        <w:t>阜新</w:t>
      </w:r>
      <w:r>
        <w:rPr>
          <w:rFonts w:hint="eastAsia"/>
          <w:spacing w:val="0"/>
          <w:sz w:val="34"/>
          <w:szCs w:val="34"/>
          <w:lang w:val="en-US" w:eastAsia="zh-CN"/>
        </w:rPr>
        <w:t>市委政法委</w:t>
      </w:r>
      <w:r>
        <w:rPr>
          <w:spacing w:val="0"/>
          <w:sz w:val="34"/>
          <w:szCs w:val="34"/>
        </w:rPr>
        <w:t>财政拨款预算安排的</w:t>
      </w:r>
      <w:r>
        <w:rPr>
          <w:rFonts w:hint="eastAsia"/>
          <w:spacing w:val="0"/>
          <w:sz w:val="34"/>
          <w:szCs w:val="34"/>
          <w:lang w:eastAsia="zh-CN"/>
        </w:rPr>
        <w:t>“</w:t>
      </w:r>
      <w:r>
        <w:rPr>
          <w:spacing w:val="0"/>
          <w:sz w:val="34"/>
          <w:szCs w:val="34"/>
        </w:rPr>
        <w:t>三公</w:t>
      </w:r>
      <w:r>
        <w:rPr>
          <w:rFonts w:hint="eastAsia"/>
          <w:spacing w:val="0"/>
          <w:sz w:val="34"/>
          <w:szCs w:val="34"/>
          <w:lang w:eastAsia="zh-CN"/>
        </w:rPr>
        <w:t>”</w:t>
      </w:r>
      <w:r>
        <w:rPr>
          <w:spacing w:val="0"/>
          <w:sz w:val="34"/>
          <w:szCs w:val="34"/>
        </w:rPr>
        <w:t xml:space="preserve">经费预算为 </w:t>
      </w:r>
      <w:r>
        <w:rPr>
          <w:rFonts w:hint="eastAsia"/>
          <w:spacing w:val="0"/>
          <w:sz w:val="34"/>
          <w:szCs w:val="34"/>
          <w:lang w:val="en-US" w:eastAsia="zh-CN"/>
        </w:rPr>
        <w:t>4.9</w:t>
      </w:r>
      <w:r>
        <w:rPr>
          <w:spacing w:val="0"/>
          <w:sz w:val="34"/>
          <w:szCs w:val="34"/>
        </w:rPr>
        <w:t>万元，</w:t>
      </w:r>
      <w:r>
        <w:rPr>
          <w:rFonts w:hint="eastAsia"/>
          <w:spacing w:val="0"/>
          <w:sz w:val="34"/>
          <w:szCs w:val="34"/>
        </w:rPr>
        <w:t>与上年度持平</w:t>
      </w:r>
      <w:r>
        <w:rPr>
          <w:rFonts w:hint="eastAsia"/>
          <w:spacing w:val="0"/>
          <w:sz w:val="34"/>
          <w:szCs w:val="34"/>
          <w:lang w:eastAsia="zh-CN"/>
        </w:rPr>
        <w:t>。</w:t>
      </w:r>
    </w:p>
    <w:p w14:paraId="74B8D545">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41" w:right="65" w:firstLine="662"/>
        <w:jc w:val="both"/>
        <w:textAlignment w:val="baseline"/>
        <w:rPr>
          <w:spacing w:val="0"/>
          <w:sz w:val="34"/>
          <w:szCs w:val="34"/>
        </w:rPr>
      </w:pPr>
      <w:r>
        <w:rPr>
          <w:spacing w:val="0"/>
          <w:sz w:val="34"/>
          <w:szCs w:val="34"/>
        </w:rPr>
        <w:t>1.因公出国（境）费</w:t>
      </w:r>
      <w:r>
        <w:rPr>
          <w:rFonts w:hint="eastAsia"/>
          <w:spacing w:val="0"/>
          <w:sz w:val="34"/>
          <w:szCs w:val="34"/>
          <w:lang w:val="en-US" w:eastAsia="zh-CN"/>
        </w:rPr>
        <w:t>0</w:t>
      </w:r>
      <w:r>
        <w:rPr>
          <w:spacing w:val="0"/>
          <w:sz w:val="34"/>
          <w:szCs w:val="34"/>
        </w:rPr>
        <w:t>万元。</w:t>
      </w:r>
    </w:p>
    <w:p w14:paraId="7E31BEF4">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37" w:right="62" w:firstLine="658"/>
        <w:jc w:val="both"/>
        <w:textAlignment w:val="baseline"/>
        <w:rPr>
          <w:spacing w:val="0"/>
          <w:sz w:val="34"/>
          <w:szCs w:val="34"/>
        </w:rPr>
      </w:pPr>
      <w:r>
        <w:rPr>
          <w:spacing w:val="0"/>
          <w:sz w:val="34"/>
          <w:szCs w:val="34"/>
        </w:rPr>
        <w:t>2.公务接待费</w:t>
      </w:r>
      <w:r>
        <w:rPr>
          <w:rFonts w:hint="eastAsia"/>
          <w:spacing w:val="0"/>
          <w:sz w:val="34"/>
          <w:szCs w:val="34"/>
          <w:lang w:val="en-US" w:eastAsia="zh-CN"/>
        </w:rPr>
        <w:t>0</w:t>
      </w:r>
      <w:r>
        <w:rPr>
          <w:spacing w:val="0"/>
          <w:sz w:val="34"/>
          <w:szCs w:val="34"/>
        </w:rPr>
        <w:t>万元。</w:t>
      </w:r>
    </w:p>
    <w:p w14:paraId="22AE6A9C">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24" w:right="6" w:firstLine="684"/>
        <w:jc w:val="both"/>
        <w:textAlignment w:val="baseline"/>
        <w:rPr>
          <w:rFonts w:eastAsia="FangSong_GB2312" w:hint="eastAsia"/>
          <w:spacing w:val="0"/>
          <w:sz w:val="34"/>
          <w:szCs w:val="34"/>
          <w:lang w:eastAsia="zh-CN"/>
        </w:rPr>
      </w:pPr>
      <w:r>
        <w:rPr>
          <w:spacing w:val="0"/>
          <w:sz w:val="34"/>
          <w:szCs w:val="34"/>
        </w:rPr>
        <w:t>3.公务用车购置及运行费</w:t>
      </w:r>
      <w:r>
        <w:rPr>
          <w:rFonts w:hint="eastAsia"/>
          <w:spacing w:val="0"/>
          <w:sz w:val="34"/>
          <w:szCs w:val="34"/>
          <w:lang w:val="en-US" w:eastAsia="zh-CN"/>
        </w:rPr>
        <w:t>4.9</w:t>
      </w:r>
      <w:r>
        <w:rPr>
          <w:spacing w:val="0"/>
          <w:sz w:val="34"/>
          <w:szCs w:val="34"/>
        </w:rPr>
        <w:t>万元（其中：公务用车购 置费</w:t>
      </w:r>
      <w:r>
        <w:rPr>
          <w:rFonts w:hint="eastAsia"/>
          <w:spacing w:val="0"/>
          <w:sz w:val="34"/>
          <w:szCs w:val="34"/>
          <w:lang w:val="en-US" w:eastAsia="zh-CN"/>
        </w:rPr>
        <w:t>0</w:t>
      </w:r>
      <w:r>
        <w:rPr>
          <w:spacing w:val="0"/>
          <w:sz w:val="34"/>
          <w:szCs w:val="34"/>
        </w:rPr>
        <w:t>万元；公务用车运行费</w:t>
      </w:r>
      <w:r>
        <w:rPr>
          <w:rFonts w:hint="eastAsia"/>
          <w:spacing w:val="0"/>
          <w:sz w:val="34"/>
          <w:szCs w:val="34"/>
          <w:lang w:val="en-US" w:eastAsia="zh-CN"/>
        </w:rPr>
        <w:t>4.9</w:t>
      </w:r>
      <w:r>
        <w:rPr>
          <w:spacing w:val="0"/>
          <w:sz w:val="34"/>
          <w:szCs w:val="34"/>
        </w:rPr>
        <w:t>万元</w:t>
      </w:r>
      <w:r>
        <w:rPr>
          <w:rFonts w:hint="eastAsia"/>
          <w:spacing w:val="0"/>
          <w:sz w:val="34"/>
          <w:szCs w:val="34"/>
          <w:lang w:val="en-US" w:eastAsia="zh-CN"/>
        </w:rPr>
        <w:t>),</w:t>
      </w:r>
      <w:r>
        <w:rPr>
          <w:rFonts w:hint="eastAsia"/>
          <w:spacing w:val="0"/>
          <w:sz w:val="34"/>
          <w:szCs w:val="34"/>
        </w:rPr>
        <w:t>与上年度持平</w:t>
      </w:r>
      <w:r>
        <w:rPr>
          <w:rFonts w:hint="eastAsia"/>
          <w:spacing w:val="0"/>
          <w:sz w:val="34"/>
          <w:szCs w:val="34"/>
          <w:lang w:eastAsia="zh-CN"/>
        </w:rPr>
        <w:t>。</w:t>
      </w:r>
    </w:p>
    <w:p w14:paraId="1C2DE8DD">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jc w:val="both"/>
        <w:textAlignment w:val="baseline"/>
        <w:rPr>
          <w:spacing w:val="0"/>
          <w:sz w:val="34"/>
          <w:szCs w:val="34"/>
        </w:rPr>
      </w:pPr>
    </w:p>
    <w:p w14:paraId="684CA1CD">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jc w:val="both"/>
        <w:textAlignment w:val="baseline"/>
        <w:rPr>
          <w:spacing w:val="0"/>
          <w:sz w:val="34"/>
          <w:szCs w:val="34"/>
        </w:rPr>
      </w:pPr>
    </w:p>
    <w:p w14:paraId="6EFA2453">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2154"/>
        <w:jc w:val="both"/>
        <w:textAlignment w:val="baseline"/>
        <w:rPr>
          <w:rFonts w:ascii="宋体" w:cs="宋体" w:eastAsia="宋体" w:hAnsi="宋体"/>
          <w:spacing w:val="0"/>
          <w:sz w:val="34"/>
          <w:szCs w:val="34"/>
        </w:rPr>
      </w:pPr>
      <w:r>
        <w:rPr>
          <w:rFonts w:ascii="宋体" w:cs="宋体" w:eastAsia="宋体" w:hAnsi="宋体"/>
          <w:b/>
          <w:bCs/>
          <w:spacing w:val="0"/>
          <w:sz w:val="34"/>
          <w:szCs w:val="34"/>
        </w:rPr>
        <w:t>财政拨款预算“三公</w:t>
      </w:r>
      <w:r>
        <w:rPr>
          <w:rFonts w:ascii="宋体" w:cs="宋体" w:eastAsia="宋体" w:hAnsi="宋体"/>
          <w:spacing w:val="0"/>
          <w:sz w:val="34"/>
          <w:szCs w:val="34"/>
        </w:rPr>
        <w:t xml:space="preserve"> </w:t>
      </w:r>
      <w:r>
        <w:rPr>
          <w:rFonts w:ascii="宋体" w:cs="宋体" w:eastAsia="宋体" w:hAnsi="宋体"/>
          <w:b/>
          <w:bCs/>
          <w:spacing w:val="0"/>
          <w:sz w:val="34"/>
          <w:szCs w:val="34"/>
        </w:rPr>
        <w:t>”经费支出表</w:t>
      </w:r>
    </w:p>
    <w:p w14:paraId="100BBD88">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jc w:val="right"/>
        <w:textAlignment w:val="baseline"/>
        <w:rPr>
          <w:rFonts w:ascii="宋体" w:cs="宋体" w:eastAsia="宋体" w:hAnsi="宋体"/>
          <w:spacing w:val="0"/>
          <w:sz w:val="28"/>
          <w:szCs w:val="28"/>
        </w:rPr>
      </w:pPr>
      <w:r>
        <w:rPr>
          <w:rFonts w:ascii="宋体" w:cs="宋体" w:eastAsia="宋体" w:hAnsi="宋体"/>
          <w:spacing w:val="0"/>
          <w:sz w:val="28"/>
          <w:szCs w:val="28"/>
        </w:rPr>
        <w:t>单位：万元</w:t>
      </w:r>
    </w:p>
    <w:p w14:paraId="2C137E6E">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jc w:val="both"/>
        <w:textAlignment w:val="baseline"/>
        <w:rPr>
          <w:spacing w:val="0"/>
          <w:sz w:val="34"/>
          <w:szCs w:val="34"/>
        </w:rPr>
      </w:pPr>
    </w:p>
    <w:tbl>
      <w:tblPr>
        <w:tblStyle w:val="style4097"/>
        <w:tblW w:w="845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3409"/>
        <w:gridCol w:w="2631"/>
        <w:gridCol w:w="2419"/>
      </w:tblGrid>
      <w:tr w14:paraId="1A0DBA6B">
        <w:trPr>
          <w:trHeight w:val="397" w:hRule="atLeast"/>
        </w:trPr>
        <w:tc>
          <w:tcPr>
            <w:tcW w:w="3409" w:type="dxa"/>
            <w:vMerge w:val="restart"/>
            <w:tcBorders>
              <w:bottom w:val="nil"/>
            </w:tcBorders>
            <w:vAlign w:val="center"/>
          </w:tcPr>
          <w:p w14:paraId="0F12D330">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jc w:val="center"/>
              <w:textAlignment w:val="baseline"/>
              <w:rPr>
                <w:rFonts w:ascii="宋体" w:cs="宋体" w:eastAsia="宋体" w:hAnsi="宋体"/>
                <w:spacing w:val="0"/>
                <w:sz w:val="34"/>
                <w:szCs w:val="34"/>
              </w:rPr>
            </w:pPr>
            <w:r>
              <w:rPr>
                <w:rFonts w:ascii="宋体" w:cs="宋体" w:eastAsia="宋体" w:hAnsi="宋体"/>
                <w:b/>
                <w:bCs/>
                <w:spacing w:val="0"/>
                <w:sz w:val="34"/>
                <w:szCs w:val="34"/>
              </w:rPr>
              <w:t>项目</w:t>
            </w:r>
          </w:p>
        </w:tc>
        <w:tc>
          <w:tcPr>
            <w:tcW w:w="5050" w:type="dxa"/>
            <w:gridSpan w:val="2"/>
            <w:tcBorders/>
          </w:tcPr>
          <w:p w14:paraId="6473E0D4">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2471"/>
              <w:jc w:val="both"/>
              <w:textAlignment w:val="baseline"/>
              <w:rPr>
                <w:rFonts w:ascii="宋体" w:cs="宋体" w:eastAsia="宋体" w:hAnsi="宋体"/>
                <w:spacing w:val="0"/>
                <w:sz w:val="34"/>
                <w:szCs w:val="34"/>
              </w:rPr>
            </w:pPr>
            <w:r>
              <w:rPr>
                <w:rFonts w:ascii="宋体" w:cs="宋体" w:eastAsia="宋体" w:hAnsi="宋体"/>
                <w:b/>
                <w:bCs/>
                <w:spacing w:val="0"/>
                <w:sz w:val="34"/>
                <w:szCs w:val="34"/>
              </w:rPr>
              <w:t>金额</w:t>
            </w:r>
          </w:p>
        </w:tc>
      </w:tr>
      <w:tr w14:paraId="256C875D">
        <w:tblPrEx/>
        <w:trPr>
          <w:trHeight w:val="585" w:hRule="atLeast"/>
        </w:trPr>
        <w:tc>
          <w:tcPr>
            <w:tcW w:w="3409" w:type="dxa"/>
            <w:vMerge w:val="continue"/>
            <w:tcBorders>
              <w:top w:val="nil"/>
            </w:tcBorders>
          </w:tcPr>
          <w:p w14:paraId="2A095582">
            <w:pPr>
              <w:pStyle w:val="style4098"/>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jc w:val="both"/>
              <w:textAlignment w:val="baseline"/>
              <w:rPr>
                <w:spacing w:val="0"/>
                <w:sz w:val="34"/>
                <w:szCs w:val="34"/>
              </w:rPr>
            </w:pPr>
          </w:p>
        </w:tc>
        <w:tc>
          <w:tcPr>
            <w:tcW w:w="2631" w:type="dxa"/>
            <w:tcBorders/>
          </w:tcPr>
          <w:p w14:paraId="39F32A9D">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822"/>
              <w:jc w:val="both"/>
              <w:textAlignment w:val="baseline"/>
              <w:rPr>
                <w:rFonts w:ascii="宋体" w:cs="宋体" w:eastAsia="宋体" w:hAnsi="宋体"/>
                <w:spacing w:val="0"/>
                <w:sz w:val="34"/>
                <w:szCs w:val="34"/>
              </w:rPr>
            </w:pPr>
            <w:r>
              <w:rPr>
                <w:rFonts w:ascii="宋体" w:cs="宋体" w:eastAsia="宋体" w:hAnsi="宋体" w:hint="eastAsia"/>
                <w:b/>
                <w:bCs/>
                <w:spacing w:val="0"/>
                <w:sz w:val="34"/>
                <w:szCs w:val="34"/>
                <w:lang w:val="en-US" w:eastAsia="zh-CN"/>
              </w:rPr>
              <w:t>2024</w:t>
            </w:r>
            <w:r>
              <w:rPr>
                <w:rFonts w:ascii="宋体" w:cs="宋体" w:eastAsia="宋体" w:hAnsi="宋体"/>
                <w:b/>
                <w:bCs/>
                <w:spacing w:val="0"/>
                <w:sz w:val="34"/>
                <w:szCs w:val="34"/>
              </w:rPr>
              <w:t>年</w:t>
            </w:r>
          </w:p>
        </w:tc>
        <w:tc>
          <w:tcPr>
            <w:tcW w:w="2419" w:type="dxa"/>
            <w:tcBorders/>
          </w:tcPr>
          <w:p w14:paraId="1CA77054">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1054"/>
              <w:jc w:val="both"/>
              <w:textAlignment w:val="baseline"/>
              <w:rPr>
                <w:rFonts w:ascii="宋体" w:cs="宋体" w:eastAsia="宋体" w:hAnsi="宋体"/>
                <w:spacing w:val="0"/>
                <w:sz w:val="34"/>
                <w:szCs w:val="34"/>
              </w:rPr>
            </w:pPr>
            <w:r>
              <w:rPr>
                <w:rFonts w:ascii="宋体" w:cs="宋体" w:eastAsia="宋体" w:hAnsi="宋体" w:hint="eastAsia"/>
                <w:b/>
                <w:bCs/>
                <w:spacing w:val="0"/>
                <w:sz w:val="34"/>
                <w:szCs w:val="34"/>
                <w:lang w:val="en-US" w:eastAsia="zh-CN"/>
              </w:rPr>
              <w:t>2025</w:t>
            </w:r>
            <w:r>
              <w:rPr>
                <w:rFonts w:ascii="宋体" w:cs="宋体" w:eastAsia="宋体" w:hAnsi="宋体"/>
                <w:b/>
                <w:bCs/>
                <w:spacing w:val="0"/>
                <w:sz w:val="34"/>
                <w:szCs w:val="34"/>
              </w:rPr>
              <w:t>年</w:t>
            </w:r>
          </w:p>
        </w:tc>
      </w:tr>
      <w:tr w14:paraId="11997451">
        <w:tblPrEx/>
        <w:trPr>
          <w:trHeight w:val="552" w:hRule="atLeast"/>
        </w:trPr>
        <w:tc>
          <w:tcPr>
            <w:tcW w:w="3409" w:type="dxa"/>
            <w:tcBorders/>
          </w:tcPr>
          <w:p w14:paraId="218031A1">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1477"/>
              <w:jc w:val="both"/>
              <w:textAlignment w:val="baseline"/>
              <w:rPr>
                <w:rFonts w:ascii="宋体" w:cs="宋体" w:eastAsia="宋体" w:hAnsi="宋体"/>
                <w:spacing w:val="0"/>
                <w:sz w:val="34"/>
                <w:szCs w:val="34"/>
              </w:rPr>
            </w:pPr>
            <w:r>
              <w:rPr>
                <w:rFonts w:ascii="宋体" w:cs="宋体" w:eastAsia="宋体" w:hAnsi="宋体"/>
                <w:b/>
                <w:bCs/>
                <w:spacing w:val="0"/>
                <w:sz w:val="34"/>
                <w:szCs w:val="34"/>
              </w:rPr>
              <w:t>合计</w:t>
            </w:r>
          </w:p>
        </w:tc>
        <w:tc>
          <w:tcPr>
            <w:tcW w:w="2631" w:type="dxa"/>
            <w:tcBorders/>
            <w:shd w:val="clear" w:color="auto" w:fill="auto"/>
            <w:vAlign w:val="center"/>
          </w:tcPr>
          <w:p w14:paraId="43AB39D7">
            <w:pPr>
              <w:pStyle w:val="style0"/>
              <w:keepNext w:val="false"/>
              <w:keepLines w:val="false"/>
              <w:pageBreakBefore w:val="false"/>
              <w:widowControl/>
              <w:tabs>
                <w:tab w:val="left" w:leader="none" w:pos="1972"/>
              </w:tabs>
              <w:kinsoku w:val="false"/>
              <w:wordWrap/>
              <w:overflowPunct/>
              <w:topLinePunct w:val="false"/>
              <w:autoSpaceDE w:val="false"/>
              <w:autoSpaceDN w:val="false"/>
              <w:bidi w:val="false"/>
              <w:adjustRightInd w:val="false"/>
              <w:snapToGrid w:val="false"/>
              <w:spacing w:lineRule="exact" w:line="590"/>
              <w:jc w:val="center"/>
              <w:textAlignment w:val="baseline"/>
              <w:rPr>
                <w:rFonts w:ascii="Arial" w:cs="Arial" w:eastAsia="宋体" w:hAnsi="Arial" w:hint="default"/>
                <w:snapToGrid w:val="false"/>
                <w:color w:val="000000"/>
                <w:spacing w:val="0"/>
                <w:kern w:val="0"/>
                <w:sz w:val="34"/>
                <w:szCs w:val="34"/>
                <w:lang w:val="en-US" w:bidi="ar-SA" w:eastAsia="zh-CN"/>
              </w:rPr>
            </w:pPr>
            <w:r>
              <w:rPr>
                <w:rFonts w:eastAsia="宋体" w:hint="eastAsia"/>
                <w:spacing w:val="0"/>
                <w:sz w:val="34"/>
                <w:szCs w:val="34"/>
                <w:lang w:val="en-US" w:eastAsia="zh-CN"/>
              </w:rPr>
              <w:t>4.9</w:t>
            </w:r>
          </w:p>
        </w:tc>
        <w:tc>
          <w:tcPr>
            <w:tcW w:w="2419" w:type="dxa"/>
            <w:tcBorders/>
            <w:shd w:val="clear" w:color="auto" w:fill="auto"/>
            <w:vAlign w:val="center"/>
          </w:tcPr>
          <w:p w14:paraId="0CAB8D44">
            <w:pPr>
              <w:pStyle w:val="style0"/>
              <w:keepNext w:val="false"/>
              <w:keepLines w:val="false"/>
              <w:pageBreakBefore w:val="false"/>
              <w:widowControl/>
              <w:tabs>
                <w:tab w:val="left" w:leader="none" w:pos="1972"/>
              </w:tabs>
              <w:kinsoku w:val="false"/>
              <w:wordWrap/>
              <w:overflowPunct/>
              <w:topLinePunct w:val="false"/>
              <w:autoSpaceDE w:val="false"/>
              <w:autoSpaceDN w:val="false"/>
              <w:bidi w:val="false"/>
              <w:adjustRightInd w:val="false"/>
              <w:snapToGrid w:val="false"/>
              <w:spacing w:lineRule="exact" w:line="590"/>
              <w:jc w:val="center"/>
              <w:textAlignment w:val="baseline"/>
              <w:rPr>
                <w:rFonts w:ascii="Arial" w:cs="Arial" w:eastAsia="宋体" w:hAnsi="Arial" w:hint="default"/>
                <w:snapToGrid w:val="false"/>
                <w:color w:val="000000"/>
                <w:spacing w:val="0"/>
                <w:kern w:val="0"/>
                <w:sz w:val="34"/>
                <w:szCs w:val="34"/>
                <w:lang w:val="en-US" w:bidi="ar-SA" w:eastAsia="zh-CN"/>
              </w:rPr>
            </w:pPr>
            <w:r>
              <w:rPr>
                <w:rFonts w:eastAsia="宋体" w:hint="eastAsia"/>
                <w:spacing w:val="0"/>
                <w:sz w:val="34"/>
                <w:szCs w:val="34"/>
                <w:lang w:val="en-US" w:eastAsia="zh-CN"/>
              </w:rPr>
              <w:t>4.9</w:t>
            </w:r>
          </w:p>
        </w:tc>
      </w:tr>
      <w:tr w14:paraId="4AEB2FC5">
        <w:tblPrEx/>
        <w:trPr>
          <w:trHeight w:val="552" w:hRule="atLeast"/>
        </w:trPr>
        <w:tc>
          <w:tcPr>
            <w:tcW w:w="3409" w:type="dxa"/>
            <w:tcBorders/>
          </w:tcPr>
          <w:p w14:paraId="21B5A539">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133"/>
              <w:jc w:val="both"/>
              <w:textAlignment w:val="baseline"/>
              <w:rPr>
                <w:rFonts w:ascii="宋体" w:cs="宋体" w:eastAsia="宋体" w:hAnsi="宋体"/>
                <w:spacing w:val="0"/>
                <w:sz w:val="34"/>
                <w:szCs w:val="34"/>
              </w:rPr>
            </w:pPr>
            <w:r>
              <w:rPr>
                <w:rFonts w:ascii="宋体" w:cs="宋体" w:eastAsia="宋体" w:hAnsi="宋体"/>
                <w:spacing w:val="0"/>
                <w:sz w:val="34"/>
                <w:szCs w:val="34"/>
              </w:rPr>
              <w:t>1.因公出国（境）费</w:t>
            </w:r>
          </w:p>
        </w:tc>
        <w:tc>
          <w:tcPr>
            <w:tcW w:w="2631" w:type="dxa"/>
            <w:tcBorders/>
          </w:tcPr>
          <w:p w14:paraId="2406AE5D">
            <w:pPr>
              <w:pStyle w:val="style4098"/>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jc w:val="center"/>
              <w:textAlignment w:val="baseline"/>
              <w:rPr>
                <w:spacing w:val="0"/>
                <w:sz w:val="34"/>
                <w:szCs w:val="34"/>
              </w:rPr>
            </w:pPr>
          </w:p>
        </w:tc>
        <w:tc>
          <w:tcPr>
            <w:tcW w:w="2419" w:type="dxa"/>
            <w:tcBorders/>
          </w:tcPr>
          <w:p w14:paraId="2E446320">
            <w:pPr>
              <w:pStyle w:val="style4098"/>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jc w:val="center"/>
              <w:textAlignment w:val="baseline"/>
              <w:rPr>
                <w:spacing w:val="0"/>
                <w:sz w:val="34"/>
                <w:szCs w:val="34"/>
              </w:rPr>
            </w:pPr>
          </w:p>
        </w:tc>
      </w:tr>
      <w:tr w14:paraId="3162989D">
        <w:tblPrEx/>
        <w:trPr>
          <w:trHeight w:val="552" w:hRule="atLeast"/>
        </w:trPr>
        <w:tc>
          <w:tcPr>
            <w:tcW w:w="3409" w:type="dxa"/>
            <w:tcBorders/>
          </w:tcPr>
          <w:p w14:paraId="4C67DD1D">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118"/>
              <w:jc w:val="both"/>
              <w:textAlignment w:val="baseline"/>
              <w:rPr>
                <w:rFonts w:ascii="宋体" w:cs="宋体" w:eastAsia="宋体" w:hAnsi="宋体"/>
                <w:spacing w:val="0"/>
                <w:sz w:val="34"/>
                <w:szCs w:val="34"/>
              </w:rPr>
            </w:pPr>
            <w:r>
              <w:rPr>
                <w:rFonts w:ascii="宋体" w:cs="宋体" w:eastAsia="宋体" w:hAnsi="宋体"/>
                <w:spacing w:val="0"/>
                <w:sz w:val="34"/>
                <w:szCs w:val="34"/>
              </w:rPr>
              <w:t>2.公务接待费</w:t>
            </w:r>
          </w:p>
        </w:tc>
        <w:tc>
          <w:tcPr>
            <w:tcW w:w="2631" w:type="dxa"/>
            <w:tcBorders/>
          </w:tcPr>
          <w:p w14:paraId="045CC6F5">
            <w:pPr>
              <w:pStyle w:val="style4098"/>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jc w:val="center"/>
              <w:textAlignment w:val="baseline"/>
              <w:rPr>
                <w:spacing w:val="0"/>
                <w:sz w:val="34"/>
                <w:szCs w:val="34"/>
              </w:rPr>
            </w:pPr>
          </w:p>
        </w:tc>
        <w:tc>
          <w:tcPr>
            <w:tcW w:w="2419" w:type="dxa"/>
            <w:tcBorders/>
          </w:tcPr>
          <w:p w14:paraId="7490A95A">
            <w:pPr>
              <w:pStyle w:val="style4098"/>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jc w:val="center"/>
              <w:textAlignment w:val="baseline"/>
              <w:rPr>
                <w:spacing w:val="0"/>
                <w:sz w:val="34"/>
                <w:szCs w:val="34"/>
              </w:rPr>
            </w:pPr>
          </w:p>
        </w:tc>
      </w:tr>
      <w:tr w14:paraId="0B15DA4A">
        <w:tblPrEx/>
        <w:trPr>
          <w:trHeight w:val="553" w:hRule="atLeast"/>
        </w:trPr>
        <w:tc>
          <w:tcPr>
            <w:tcW w:w="3409" w:type="dxa"/>
            <w:tcBorders/>
          </w:tcPr>
          <w:p w14:paraId="3904FD4E">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120"/>
              <w:jc w:val="both"/>
              <w:textAlignment w:val="baseline"/>
              <w:rPr>
                <w:rFonts w:ascii="宋体" w:cs="宋体" w:eastAsia="宋体" w:hAnsi="宋体"/>
                <w:spacing w:val="0"/>
                <w:sz w:val="34"/>
                <w:szCs w:val="34"/>
              </w:rPr>
            </w:pPr>
            <w:r>
              <w:rPr>
                <w:rFonts w:ascii="宋体" w:cs="宋体" w:eastAsia="宋体" w:hAnsi="宋体"/>
                <w:spacing w:val="0"/>
                <w:sz w:val="34"/>
                <w:szCs w:val="34"/>
              </w:rPr>
              <w:t>3.公务用车购置及运行费</w:t>
            </w:r>
          </w:p>
        </w:tc>
        <w:tc>
          <w:tcPr>
            <w:tcW w:w="2631" w:type="dxa"/>
            <w:tcBorders/>
            <w:vAlign w:val="center"/>
          </w:tcPr>
          <w:p w14:paraId="6A1955F7">
            <w:pPr>
              <w:pStyle w:val="style0"/>
              <w:keepNext w:val="false"/>
              <w:keepLines w:val="false"/>
              <w:pageBreakBefore w:val="false"/>
              <w:widowControl/>
              <w:tabs>
                <w:tab w:val="left" w:leader="none" w:pos="1972"/>
              </w:tabs>
              <w:kinsoku w:val="false"/>
              <w:wordWrap/>
              <w:overflowPunct/>
              <w:topLinePunct w:val="false"/>
              <w:autoSpaceDE w:val="false"/>
              <w:autoSpaceDN w:val="false"/>
              <w:bidi w:val="false"/>
              <w:adjustRightInd w:val="false"/>
              <w:snapToGrid w:val="false"/>
              <w:spacing w:lineRule="exact" w:line="590"/>
              <w:jc w:val="center"/>
              <w:textAlignment w:val="baseline"/>
              <w:rPr>
                <w:rFonts w:eastAsia="宋体" w:hint="default"/>
                <w:spacing w:val="0"/>
                <w:sz w:val="34"/>
                <w:szCs w:val="34"/>
                <w:lang w:val="en-US" w:eastAsia="zh-CN"/>
              </w:rPr>
            </w:pPr>
            <w:r>
              <w:rPr>
                <w:rFonts w:eastAsia="宋体" w:hint="eastAsia"/>
                <w:spacing w:val="0"/>
                <w:sz w:val="34"/>
                <w:szCs w:val="34"/>
                <w:lang w:val="en-US" w:eastAsia="zh-CN"/>
              </w:rPr>
              <w:t>4.9</w:t>
            </w:r>
          </w:p>
        </w:tc>
        <w:tc>
          <w:tcPr>
            <w:tcW w:w="2419" w:type="dxa"/>
            <w:tcBorders/>
            <w:vAlign w:val="center"/>
          </w:tcPr>
          <w:p w14:paraId="39C89660">
            <w:pPr>
              <w:pStyle w:val="style0"/>
              <w:keepNext w:val="false"/>
              <w:keepLines w:val="false"/>
              <w:pageBreakBefore w:val="false"/>
              <w:widowControl/>
              <w:tabs>
                <w:tab w:val="left" w:leader="none" w:pos="1972"/>
              </w:tabs>
              <w:kinsoku w:val="false"/>
              <w:wordWrap/>
              <w:overflowPunct/>
              <w:topLinePunct w:val="false"/>
              <w:autoSpaceDE w:val="false"/>
              <w:autoSpaceDN w:val="false"/>
              <w:bidi w:val="false"/>
              <w:adjustRightInd w:val="false"/>
              <w:snapToGrid w:val="false"/>
              <w:spacing w:lineRule="exact" w:line="590"/>
              <w:jc w:val="center"/>
              <w:textAlignment w:val="baseline"/>
              <w:rPr>
                <w:rFonts w:eastAsia="宋体" w:hint="default"/>
                <w:spacing w:val="0"/>
                <w:sz w:val="34"/>
                <w:szCs w:val="34"/>
                <w:lang w:val="en-US" w:eastAsia="zh-CN"/>
              </w:rPr>
            </w:pPr>
            <w:r>
              <w:rPr>
                <w:rFonts w:eastAsia="宋体" w:hint="eastAsia"/>
                <w:spacing w:val="0"/>
                <w:sz w:val="34"/>
                <w:szCs w:val="34"/>
                <w:lang w:val="en-US" w:eastAsia="zh-CN"/>
              </w:rPr>
              <w:t>4.9</w:t>
            </w:r>
          </w:p>
        </w:tc>
      </w:tr>
      <w:tr w14:paraId="2EE5E8B0">
        <w:tblPrEx/>
        <w:trPr>
          <w:trHeight w:val="539" w:hRule="atLeast"/>
        </w:trPr>
        <w:tc>
          <w:tcPr>
            <w:tcW w:w="3409" w:type="dxa"/>
            <w:tcBorders/>
          </w:tcPr>
          <w:p w14:paraId="1C5FD09C">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239"/>
              <w:jc w:val="both"/>
              <w:textAlignment w:val="baseline"/>
              <w:rPr>
                <w:rFonts w:ascii="宋体" w:cs="宋体" w:eastAsia="宋体" w:hAnsi="宋体"/>
                <w:spacing w:val="0"/>
                <w:sz w:val="34"/>
                <w:szCs w:val="34"/>
              </w:rPr>
            </w:pPr>
            <w:r>
              <w:rPr>
                <w:rFonts w:ascii="宋体" w:cs="宋体" w:eastAsia="宋体" w:hAnsi="宋体"/>
                <w:spacing w:val="0"/>
                <w:sz w:val="34"/>
                <w:szCs w:val="34"/>
              </w:rPr>
              <w:t>其中：公务用车购置费</w:t>
            </w:r>
          </w:p>
        </w:tc>
        <w:tc>
          <w:tcPr>
            <w:tcW w:w="2631" w:type="dxa"/>
            <w:tcBorders/>
          </w:tcPr>
          <w:p w14:paraId="6F2C4F71">
            <w:pPr>
              <w:pStyle w:val="style4098"/>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jc w:val="center"/>
              <w:textAlignment w:val="baseline"/>
              <w:rPr>
                <w:spacing w:val="0"/>
                <w:sz w:val="34"/>
                <w:szCs w:val="34"/>
              </w:rPr>
            </w:pPr>
          </w:p>
        </w:tc>
        <w:tc>
          <w:tcPr>
            <w:tcW w:w="2419" w:type="dxa"/>
            <w:tcBorders/>
          </w:tcPr>
          <w:p w14:paraId="15C4F20A">
            <w:pPr>
              <w:pStyle w:val="style4098"/>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jc w:val="center"/>
              <w:textAlignment w:val="baseline"/>
              <w:rPr>
                <w:spacing w:val="0"/>
                <w:sz w:val="34"/>
                <w:szCs w:val="34"/>
              </w:rPr>
            </w:pPr>
          </w:p>
        </w:tc>
      </w:tr>
      <w:tr w14:paraId="08ACA345">
        <w:tblPrEx/>
        <w:trPr>
          <w:trHeight w:val="561" w:hRule="atLeast"/>
        </w:trPr>
        <w:tc>
          <w:tcPr>
            <w:tcW w:w="3409" w:type="dxa"/>
            <w:tcBorders/>
          </w:tcPr>
          <w:p w14:paraId="58EA861A">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975"/>
              <w:jc w:val="both"/>
              <w:textAlignment w:val="baseline"/>
              <w:rPr>
                <w:rFonts w:ascii="宋体" w:cs="宋体" w:eastAsia="宋体" w:hAnsi="宋体"/>
                <w:spacing w:val="0"/>
                <w:sz w:val="34"/>
                <w:szCs w:val="34"/>
              </w:rPr>
            </w:pPr>
            <w:r>
              <w:rPr>
                <w:rFonts w:ascii="宋体" w:cs="宋体" w:eastAsia="宋体" w:hAnsi="宋体"/>
                <w:spacing w:val="0"/>
                <w:sz w:val="34"/>
                <w:szCs w:val="34"/>
              </w:rPr>
              <w:t>公务用车运行费</w:t>
            </w:r>
          </w:p>
        </w:tc>
        <w:tc>
          <w:tcPr>
            <w:tcW w:w="2631" w:type="dxa"/>
            <w:tcBorders/>
            <w:shd w:val="clear" w:color="auto" w:fill="auto"/>
            <w:vAlign w:val="center"/>
          </w:tcPr>
          <w:p w14:paraId="762B966F">
            <w:pPr>
              <w:pStyle w:val="style0"/>
              <w:keepNext w:val="false"/>
              <w:keepLines w:val="false"/>
              <w:pageBreakBefore w:val="false"/>
              <w:widowControl/>
              <w:tabs>
                <w:tab w:val="left" w:leader="none" w:pos="1972"/>
              </w:tabs>
              <w:kinsoku w:val="false"/>
              <w:wordWrap/>
              <w:overflowPunct/>
              <w:topLinePunct w:val="false"/>
              <w:autoSpaceDE w:val="false"/>
              <w:autoSpaceDN w:val="false"/>
              <w:bidi w:val="false"/>
              <w:adjustRightInd w:val="false"/>
              <w:snapToGrid w:val="false"/>
              <w:spacing w:lineRule="exact" w:line="590"/>
              <w:jc w:val="center"/>
              <w:textAlignment w:val="baseline"/>
              <w:rPr>
                <w:rFonts w:ascii="Arial" w:cs="Arial" w:eastAsia="宋体" w:hAnsi="Arial" w:hint="default"/>
                <w:snapToGrid w:val="false"/>
                <w:color w:val="000000"/>
                <w:spacing w:val="0"/>
                <w:kern w:val="0"/>
                <w:sz w:val="34"/>
                <w:szCs w:val="34"/>
                <w:lang w:val="en-US" w:bidi="ar-SA" w:eastAsia="zh-CN"/>
              </w:rPr>
            </w:pPr>
            <w:r>
              <w:rPr>
                <w:rFonts w:eastAsia="宋体" w:hint="eastAsia"/>
                <w:spacing w:val="0"/>
                <w:sz w:val="34"/>
                <w:szCs w:val="34"/>
                <w:lang w:val="en-US" w:eastAsia="zh-CN"/>
              </w:rPr>
              <w:t>4.9</w:t>
            </w:r>
          </w:p>
        </w:tc>
        <w:tc>
          <w:tcPr>
            <w:tcW w:w="2419" w:type="dxa"/>
            <w:tcBorders/>
            <w:shd w:val="clear" w:color="auto" w:fill="auto"/>
            <w:vAlign w:val="center"/>
          </w:tcPr>
          <w:p w14:paraId="2AA9E5EF">
            <w:pPr>
              <w:pStyle w:val="style0"/>
              <w:keepNext w:val="false"/>
              <w:keepLines w:val="false"/>
              <w:pageBreakBefore w:val="false"/>
              <w:widowControl/>
              <w:tabs>
                <w:tab w:val="left" w:leader="none" w:pos="1972"/>
              </w:tabs>
              <w:kinsoku w:val="false"/>
              <w:wordWrap/>
              <w:overflowPunct/>
              <w:topLinePunct w:val="false"/>
              <w:autoSpaceDE w:val="false"/>
              <w:autoSpaceDN w:val="false"/>
              <w:bidi w:val="false"/>
              <w:adjustRightInd w:val="false"/>
              <w:snapToGrid w:val="false"/>
              <w:spacing w:lineRule="exact" w:line="590"/>
              <w:jc w:val="center"/>
              <w:textAlignment w:val="baseline"/>
              <w:rPr>
                <w:rFonts w:ascii="Arial" w:cs="Arial" w:eastAsia="宋体" w:hAnsi="Arial" w:hint="default"/>
                <w:snapToGrid w:val="false"/>
                <w:color w:val="000000"/>
                <w:spacing w:val="0"/>
                <w:kern w:val="0"/>
                <w:sz w:val="34"/>
                <w:szCs w:val="34"/>
                <w:lang w:val="en-US" w:bidi="ar-SA" w:eastAsia="zh-CN"/>
              </w:rPr>
            </w:pPr>
            <w:r>
              <w:rPr>
                <w:rFonts w:eastAsia="宋体" w:hint="eastAsia"/>
                <w:spacing w:val="0"/>
                <w:sz w:val="34"/>
                <w:szCs w:val="34"/>
                <w:lang w:val="en-US" w:eastAsia="zh-CN"/>
              </w:rPr>
              <w:t>4.9</w:t>
            </w:r>
          </w:p>
        </w:tc>
      </w:tr>
    </w:tbl>
    <w:p w14:paraId="535FFC00">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690"/>
        <w:jc w:val="both"/>
        <w:textAlignment w:val="baseline"/>
        <w:rPr>
          <w:rFonts w:ascii="黑体" w:cs="黑体" w:eastAsia="黑体" w:hAnsi="黑体"/>
          <w:spacing w:val="0"/>
          <w:sz w:val="34"/>
          <w:szCs w:val="34"/>
        </w:rPr>
      </w:pPr>
    </w:p>
    <w:p w14:paraId="7D77FC60">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690"/>
        <w:jc w:val="both"/>
        <w:textAlignment w:val="baseline"/>
        <w:rPr>
          <w:rFonts w:ascii="黑体" w:cs="黑体" w:eastAsia="黑体" w:hAnsi="黑体"/>
          <w:spacing w:val="0"/>
          <w:sz w:val="34"/>
          <w:szCs w:val="34"/>
        </w:rPr>
      </w:pPr>
      <w:r>
        <w:rPr>
          <w:rFonts w:ascii="黑体" w:cs="黑体" w:eastAsia="黑体" w:hAnsi="黑体"/>
          <w:spacing w:val="0"/>
          <w:sz w:val="34"/>
          <w:szCs w:val="34"/>
        </w:rPr>
        <w:t>六、国有资产占用情况</w:t>
      </w:r>
    </w:p>
    <w:p w14:paraId="0B5F896F">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44" w:right="502" w:firstLine="640"/>
        <w:jc w:val="both"/>
        <w:textAlignment w:val="baseline"/>
        <w:rPr>
          <w:spacing w:val="0"/>
          <w:sz w:val="34"/>
          <w:szCs w:val="34"/>
        </w:rPr>
      </w:pPr>
      <w:r>
        <w:rPr>
          <w:rFonts w:hint="eastAsia"/>
          <w:spacing w:val="0"/>
          <w:sz w:val="34"/>
          <w:szCs w:val="34"/>
          <w:lang w:eastAsia="zh-CN"/>
        </w:rPr>
        <w:t>阜新</w:t>
      </w:r>
      <w:r>
        <w:rPr>
          <w:rFonts w:hint="eastAsia"/>
          <w:spacing w:val="0"/>
          <w:sz w:val="34"/>
          <w:szCs w:val="34"/>
          <w:lang w:val="en-US" w:eastAsia="zh-CN"/>
        </w:rPr>
        <w:t>市委政法委2025</w:t>
      </w:r>
      <w:r>
        <w:rPr>
          <w:spacing w:val="0"/>
          <w:sz w:val="34"/>
          <w:szCs w:val="34"/>
        </w:rPr>
        <w:t>年初预算购置车辆</w:t>
      </w:r>
      <w:r>
        <w:rPr>
          <w:rFonts w:hint="eastAsia"/>
          <w:spacing w:val="0"/>
          <w:sz w:val="34"/>
          <w:szCs w:val="34"/>
          <w:lang w:val="en-US" w:eastAsia="zh-CN"/>
        </w:rPr>
        <w:t>0</w:t>
      </w:r>
      <w:r>
        <w:rPr>
          <w:spacing w:val="0"/>
          <w:sz w:val="34"/>
          <w:szCs w:val="34"/>
        </w:rPr>
        <w:t>台，金额</w:t>
      </w:r>
      <w:r>
        <w:rPr>
          <w:rFonts w:hint="eastAsia"/>
          <w:spacing w:val="0"/>
          <w:sz w:val="34"/>
          <w:szCs w:val="34"/>
          <w:lang w:val="en-US" w:eastAsia="zh-CN"/>
        </w:rPr>
        <w:t>0</w:t>
      </w:r>
      <w:r>
        <w:rPr>
          <w:spacing w:val="0"/>
          <w:sz w:val="34"/>
          <w:szCs w:val="34"/>
        </w:rPr>
        <w:t>万元，单位价值50万元以上的通用设备</w:t>
      </w:r>
      <w:r>
        <w:rPr>
          <w:rFonts w:hint="eastAsia"/>
          <w:spacing w:val="0"/>
          <w:sz w:val="34"/>
          <w:szCs w:val="34"/>
          <w:lang w:val="en-US" w:eastAsia="zh-CN"/>
        </w:rPr>
        <w:t>0</w:t>
      </w:r>
      <w:r>
        <w:rPr>
          <w:spacing w:val="0"/>
          <w:sz w:val="34"/>
          <w:szCs w:val="34"/>
        </w:rPr>
        <w:t xml:space="preserve">台，单位价值 100万元以上的专用设备 </w:t>
      </w:r>
      <w:r>
        <w:rPr>
          <w:rFonts w:hint="eastAsia"/>
          <w:spacing w:val="0"/>
          <w:sz w:val="34"/>
          <w:szCs w:val="34"/>
          <w:lang w:val="en-US" w:eastAsia="zh-CN"/>
        </w:rPr>
        <w:t>0</w:t>
      </w:r>
      <w:r>
        <w:rPr>
          <w:spacing w:val="0"/>
          <w:sz w:val="34"/>
          <w:szCs w:val="34"/>
        </w:rPr>
        <w:t xml:space="preserve"> 台。</w:t>
      </w:r>
    </w:p>
    <w:p w14:paraId="567B2DA8">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679"/>
        <w:jc w:val="both"/>
        <w:textAlignment w:val="baseline"/>
        <w:rPr>
          <w:rFonts w:ascii="黑体" w:cs="黑体" w:eastAsia="黑体" w:hAnsi="黑体"/>
          <w:spacing w:val="0"/>
          <w:sz w:val="34"/>
          <w:szCs w:val="34"/>
        </w:rPr>
      </w:pPr>
      <w:r>
        <w:rPr>
          <w:rFonts w:ascii="黑体" w:cs="黑体" w:eastAsia="黑体" w:hAnsi="黑体"/>
          <w:spacing w:val="0"/>
          <w:sz w:val="34"/>
          <w:szCs w:val="34"/>
        </w:rPr>
        <w:t>七、预算绩效目标情况</w:t>
      </w:r>
    </w:p>
    <w:p w14:paraId="147EF25E">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24" w:right="508" w:firstLine="637"/>
        <w:jc w:val="both"/>
        <w:textAlignment w:val="baseline"/>
        <w:rPr>
          <w:rFonts w:eastAsia="FangSong_GB2312" w:hint="eastAsia"/>
          <w:spacing w:val="0"/>
          <w:sz w:val="34"/>
          <w:szCs w:val="34"/>
          <w:lang w:eastAsia="zh-CN"/>
        </w:rPr>
        <w:sectPr>
          <w:footerReference w:type="default" r:id="rId4"/>
          <w:pgSz w:w="11906" w:h="16839" w:orient="portrait"/>
          <w:pgMar w:top="1928" w:right="1474" w:bottom="1701" w:left="1474" w:header="0" w:footer="994" w:gutter="0"/>
          <w:cols w:space="720" w:num="1"/>
        </w:sectPr>
      </w:pPr>
      <w:r>
        <w:rPr>
          <w:spacing w:val="0"/>
          <w:sz w:val="34"/>
          <w:szCs w:val="34"/>
        </w:rPr>
        <w:t>根据预算绩效管理要求，</w:t>
      </w:r>
      <w:r>
        <w:rPr>
          <w:rFonts w:hint="eastAsia"/>
          <w:spacing w:val="0"/>
          <w:sz w:val="34"/>
          <w:szCs w:val="34"/>
          <w:lang w:eastAsia="zh-CN"/>
        </w:rPr>
        <w:t>阜新</w:t>
      </w:r>
      <w:r>
        <w:rPr>
          <w:rFonts w:hint="eastAsia"/>
          <w:spacing w:val="0"/>
          <w:sz w:val="34"/>
          <w:szCs w:val="34"/>
          <w:lang w:val="en-US" w:eastAsia="zh-CN"/>
        </w:rPr>
        <w:t>市委政法委2025</w:t>
      </w:r>
      <w:r>
        <w:rPr>
          <w:spacing w:val="0"/>
          <w:sz w:val="34"/>
          <w:szCs w:val="34"/>
        </w:rPr>
        <w:t>年应编制部门（单位）整体绩效目标共</w:t>
      </w:r>
      <w:r>
        <w:rPr>
          <w:rFonts w:hint="eastAsia"/>
          <w:spacing w:val="0"/>
          <w:sz w:val="34"/>
          <w:szCs w:val="34"/>
          <w:lang w:val="en-US" w:eastAsia="zh-CN"/>
        </w:rPr>
        <w:t>1</w:t>
      </w:r>
      <w:r>
        <w:rPr>
          <w:spacing w:val="0"/>
          <w:sz w:val="34"/>
          <w:szCs w:val="34"/>
        </w:rPr>
        <w:t xml:space="preserve">个，实际编制部门（单位）整体绩效目标共 </w:t>
      </w:r>
      <w:r>
        <w:rPr>
          <w:rFonts w:hint="eastAsia"/>
          <w:spacing w:val="0"/>
          <w:sz w:val="34"/>
          <w:szCs w:val="34"/>
          <w:lang w:val="en-US" w:eastAsia="zh-CN"/>
        </w:rPr>
        <w:t>1</w:t>
      </w:r>
      <w:r>
        <w:rPr>
          <w:spacing w:val="0"/>
          <w:sz w:val="34"/>
          <w:szCs w:val="34"/>
        </w:rPr>
        <w:t>个，编制部门（单位）整体绩效目标覆盖率为</w:t>
      </w:r>
      <w:r>
        <w:rPr>
          <w:rFonts w:hint="eastAsia"/>
          <w:spacing w:val="0"/>
          <w:sz w:val="34"/>
          <w:szCs w:val="34"/>
          <w:lang w:val="en-US" w:eastAsia="zh-CN"/>
        </w:rPr>
        <w:t>100</w:t>
      </w:r>
      <w:r>
        <w:rPr>
          <w:spacing w:val="0"/>
          <w:sz w:val="34"/>
          <w:szCs w:val="34"/>
        </w:rPr>
        <w:t>%。</w:t>
      </w:r>
      <w:r>
        <w:rPr>
          <w:rFonts w:hint="eastAsia"/>
          <w:spacing w:val="0"/>
          <w:sz w:val="34"/>
          <w:szCs w:val="34"/>
          <w:lang w:val="en-US" w:eastAsia="zh-CN"/>
        </w:rPr>
        <w:t>2025</w:t>
      </w:r>
      <w:r>
        <w:rPr>
          <w:spacing w:val="0"/>
          <w:sz w:val="34"/>
          <w:szCs w:val="34"/>
        </w:rPr>
        <w:t>年应编制绩效目标的特定目标类和其他运转类项目共</w:t>
      </w:r>
      <w:r>
        <w:rPr>
          <w:rFonts w:hint="eastAsia"/>
          <w:spacing w:val="0"/>
          <w:sz w:val="34"/>
          <w:szCs w:val="34"/>
          <w:lang w:val="en-US" w:eastAsia="zh-CN"/>
        </w:rPr>
        <w:t>1</w:t>
      </w:r>
      <w:r>
        <w:rPr>
          <w:spacing w:val="0"/>
          <w:sz w:val="34"/>
          <w:szCs w:val="34"/>
        </w:rPr>
        <w:t>个，实际编制绩效目标的特定目标类和其他运转类项目共</w:t>
      </w:r>
      <w:r>
        <w:rPr>
          <w:rFonts w:hint="eastAsia"/>
          <w:spacing w:val="0"/>
          <w:sz w:val="34"/>
          <w:szCs w:val="34"/>
          <w:lang w:val="en-US" w:eastAsia="zh-CN"/>
        </w:rPr>
        <w:t>1</w:t>
      </w:r>
      <w:r>
        <w:rPr>
          <w:spacing w:val="0"/>
          <w:sz w:val="34"/>
          <w:szCs w:val="34"/>
        </w:rPr>
        <w:t>个，涉及资金</w:t>
      </w:r>
      <w:r>
        <w:rPr>
          <w:rFonts w:hint="eastAsia"/>
          <w:spacing w:val="0"/>
          <w:sz w:val="34"/>
          <w:szCs w:val="34"/>
          <w:lang w:val="en-US" w:eastAsia="zh-CN"/>
        </w:rPr>
        <w:t>2</w:t>
      </w:r>
      <w:r>
        <w:rPr>
          <w:spacing w:val="0"/>
          <w:sz w:val="34"/>
          <w:szCs w:val="34"/>
        </w:rPr>
        <w:t>万元，编制特定目标类和其他运转类绩效目标的项目覆盖率为</w:t>
      </w:r>
      <w:r>
        <w:rPr>
          <w:rFonts w:hint="eastAsia"/>
          <w:spacing w:val="0"/>
          <w:sz w:val="34"/>
          <w:szCs w:val="34"/>
          <w:lang w:val="en-US" w:eastAsia="zh-CN"/>
        </w:rPr>
        <w:t>100</w:t>
      </w:r>
      <w:r>
        <w:rPr>
          <w:spacing w:val="0"/>
          <w:sz w:val="34"/>
          <w:szCs w:val="34"/>
        </w:rPr>
        <w:t>%</w:t>
      </w:r>
      <w:r>
        <w:rPr>
          <w:rFonts w:hint="eastAsia"/>
          <w:spacing w:val="0"/>
          <w:sz w:val="34"/>
          <w:szCs w:val="34"/>
          <w:lang w:eastAsia="zh-CN"/>
        </w:rPr>
        <w:t>。</w:t>
      </w:r>
    </w:p>
    <w:p w14:paraId="564F5A18">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2634"/>
        <w:jc w:val="both"/>
        <w:textAlignment w:val="baseline"/>
        <w:outlineLvl w:val="1"/>
        <w:rPr>
          <w:rFonts w:ascii="宋体" w:cs="宋体" w:eastAsia="宋体" w:hAnsi="宋体"/>
          <w:spacing w:val="0"/>
          <w:sz w:val="34"/>
          <w:szCs w:val="34"/>
        </w:rPr>
      </w:pPr>
      <w:r>
        <w:rPr>
          <w:rFonts w:ascii="宋体" w:cs="宋体" w:eastAsia="宋体" w:hAnsi="宋体"/>
          <w:b/>
          <w:bCs/>
          <w:spacing w:val="0"/>
          <w:sz w:val="34"/>
          <w:szCs w:val="34"/>
        </w:rPr>
        <w:t>第</w:t>
      </w:r>
      <w:r>
        <w:rPr>
          <w:rFonts w:ascii="宋体" w:cs="宋体" w:eastAsia="宋体" w:hAnsi="宋体" w:hint="eastAsia"/>
          <w:b/>
          <w:bCs/>
          <w:spacing w:val="0"/>
          <w:sz w:val="34"/>
          <w:szCs w:val="34"/>
          <w:lang w:eastAsia="zh-CN"/>
        </w:rPr>
        <w:t>三</w:t>
      </w:r>
      <w:r>
        <w:rPr>
          <w:rFonts w:ascii="宋体" w:cs="宋体" w:eastAsia="宋体" w:hAnsi="宋体"/>
          <w:b/>
          <w:bCs/>
          <w:spacing w:val="0"/>
          <w:sz w:val="34"/>
          <w:szCs w:val="34"/>
        </w:rPr>
        <w:t>部分</w:t>
      </w:r>
      <w:r>
        <w:rPr>
          <w:rFonts w:ascii="宋体" w:cs="宋体" w:eastAsia="宋体" w:hAnsi="宋体"/>
          <w:spacing w:val="0"/>
          <w:sz w:val="34"/>
          <w:szCs w:val="34"/>
        </w:rPr>
        <w:t xml:space="preserve"> </w:t>
      </w:r>
      <w:r>
        <w:rPr>
          <w:rFonts w:ascii="宋体" w:cs="宋体" w:eastAsia="宋体" w:hAnsi="宋体"/>
          <w:b/>
          <w:bCs/>
          <w:spacing w:val="0"/>
          <w:sz w:val="34"/>
          <w:szCs w:val="34"/>
        </w:rPr>
        <w:t>名词解释</w:t>
      </w:r>
    </w:p>
    <w:p w14:paraId="6F85FCD5">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jc w:val="both"/>
        <w:textAlignment w:val="baseline"/>
        <w:rPr>
          <w:rFonts w:ascii="Arial"/>
          <w:spacing w:val="0"/>
          <w:sz w:val="34"/>
          <w:szCs w:val="34"/>
        </w:rPr>
      </w:pPr>
    </w:p>
    <w:p w14:paraId="2304E98E">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24" w:right="219" w:firstLine="668"/>
        <w:jc w:val="both"/>
        <w:textAlignment w:val="baseline"/>
        <w:rPr>
          <w:spacing w:val="0"/>
          <w:sz w:val="34"/>
          <w:szCs w:val="34"/>
        </w:rPr>
      </w:pPr>
      <w:r>
        <w:rPr>
          <w:b/>
          <w:bCs/>
          <w:spacing w:val="0"/>
          <w:sz w:val="34"/>
          <w:szCs w:val="34"/>
        </w:rPr>
        <w:t>1.一般公共预算：</w:t>
      </w:r>
      <w:r>
        <w:rPr>
          <w:spacing w:val="0"/>
          <w:sz w:val="34"/>
          <w:szCs w:val="34"/>
        </w:rPr>
        <w:t>是对以税收为主体的财政收入，安排用于保障和改善民生、推动经济社会发展、维护国家安全、维持国家机构正常运转等方面的收支预算。</w:t>
      </w:r>
    </w:p>
    <w:p w14:paraId="41CD1202">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30" w:right="244" w:firstLine="654"/>
        <w:jc w:val="both"/>
        <w:textAlignment w:val="baseline"/>
        <w:rPr>
          <w:spacing w:val="0"/>
          <w:sz w:val="34"/>
          <w:szCs w:val="34"/>
        </w:rPr>
      </w:pPr>
      <w:r>
        <w:rPr>
          <w:b/>
          <w:bCs/>
          <w:spacing w:val="0"/>
          <w:sz w:val="34"/>
          <w:szCs w:val="34"/>
        </w:rPr>
        <w:t>2.基本支出：</w:t>
      </w:r>
      <w:r>
        <w:rPr>
          <w:spacing w:val="0"/>
          <w:sz w:val="34"/>
          <w:szCs w:val="34"/>
        </w:rPr>
        <w:t>是为保障机构正常运转、完成日常工作任务而发生的支出，包括人员经费和公用经费。</w:t>
      </w:r>
    </w:p>
    <w:p w14:paraId="39C6A539">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24" w:right="244" w:firstLine="672"/>
        <w:jc w:val="both"/>
        <w:textAlignment w:val="baseline"/>
        <w:rPr>
          <w:spacing w:val="0"/>
          <w:sz w:val="34"/>
          <w:szCs w:val="34"/>
        </w:rPr>
      </w:pPr>
      <w:r>
        <w:rPr>
          <w:b/>
          <w:bCs/>
          <w:spacing w:val="0"/>
          <w:sz w:val="34"/>
          <w:szCs w:val="34"/>
        </w:rPr>
        <w:t>3.项目支出：</w:t>
      </w:r>
      <w:r>
        <w:rPr>
          <w:spacing w:val="0"/>
          <w:sz w:val="34"/>
          <w:szCs w:val="34"/>
        </w:rPr>
        <w:t>指为完成特定工作任务和事业发展目标所发生的支出。</w:t>
      </w:r>
    </w:p>
    <w:p w14:paraId="1D522E35">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14" w:firstLine="669"/>
        <w:jc w:val="both"/>
        <w:textAlignment w:val="baseline"/>
        <w:rPr>
          <w:spacing w:val="0"/>
          <w:sz w:val="34"/>
          <w:szCs w:val="34"/>
        </w:rPr>
      </w:pPr>
      <w:r>
        <w:rPr>
          <w:b/>
          <w:bCs/>
          <w:spacing w:val="0"/>
          <w:sz w:val="34"/>
          <w:szCs w:val="34"/>
        </w:rPr>
        <w:t>4.机关运行经费：</w:t>
      </w:r>
      <w:r>
        <w:rPr>
          <w:spacing w:val="0"/>
          <w:sz w:val="34"/>
          <w:szCs w:val="34"/>
        </w:rPr>
        <w:t>是指行政机关及参公单位的公用</w:t>
      </w:r>
      <w:r>
        <w:rPr>
          <w:rFonts w:hint="eastAsia"/>
          <w:spacing w:val="0"/>
          <w:sz w:val="34"/>
          <w:szCs w:val="34"/>
          <w:lang w:val="en-US" w:eastAsia="zh-CN"/>
        </w:rPr>
        <w:t>经费，</w:t>
      </w:r>
      <w:r>
        <w:rPr>
          <w:spacing w:val="0"/>
          <w:sz w:val="34"/>
          <w:szCs w:val="34"/>
        </w:rPr>
        <w:t>包括办公及印刷费、邮电费、差旅费、会议费、福利费、 日常维护费、专用材料及一般设备购置费、办公用房水电费、 办公用房取暖费、办公用房物业管理费、办公用车运行维护费以及其他费用。</w:t>
      </w:r>
    </w:p>
    <w:p w14:paraId="1FEB7E59">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25" w:right="244" w:firstLine="662"/>
        <w:jc w:val="both"/>
        <w:textAlignment w:val="baseline"/>
        <w:rPr>
          <w:spacing w:val="0"/>
          <w:sz w:val="34"/>
          <w:szCs w:val="34"/>
        </w:rPr>
      </w:pPr>
      <w:r>
        <w:rPr>
          <w:b/>
          <w:bCs/>
          <w:spacing w:val="0"/>
          <w:sz w:val="34"/>
          <w:szCs w:val="34"/>
        </w:rPr>
        <w:t>5.上年结转：</w:t>
      </w:r>
      <w:r>
        <w:rPr>
          <w:spacing w:val="0"/>
          <w:sz w:val="34"/>
          <w:szCs w:val="34"/>
        </w:rPr>
        <w:t>指以前年度尚未使用完毕，结转到本年仍按原规定用途继续使用的资金。</w:t>
      </w:r>
    </w:p>
    <w:p w14:paraId="53699B14">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16" w:right="88" w:firstLine="670"/>
        <w:jc w:val="both"/>
        <w:textAlignment w:val="baseline"/>
        <w:rPr>
          <w:spacing w:val="0"/>
          <w:sz w:val="34"/>
          <w:szCs w:val="34"/>
        </w:rPr>
      </w:pPr>
      <w:r>
        <w:rPr>
          <w:b/>
          <w:bCs/>
          <w:spacing w:val="0"/>
          <w:sz w:val="34"/>
          <w:szCs w:val="34"/>
        </w:rPr>
        <w:t>6.“三公”经费：</w:t>
      </w:r>
      <w:r>
        <w:rPr>
          <w:spacing w:val="0"/>
          <w:sz w:val="34"/>
          <w:szCs w:val="34"/>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00991E9B">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16" w:right="88" w:firstLine="670"/>
        <w:jc w:val="both"/>
        <w:textAlignment w:val="baseline"/>
        <w:rPr>
          <w:spacing w:val="0"/>
          <w:sz w:val="34"/>
          <w:szCs w:val="34"/>
        </w:rPr>
      </w:pPr>
      <w:r>
        <w:rPr>
          <w:b/>
          <w:bCs/>
          <w:spacing w:val="0"/>
          <w:sz w:val="34"/>
          <w:szCs w:val="34"/>
        </w:rPr>
        <w:t>7.一般公共服务支出（类）财政事务（款）行政运行</w:t>
      </w:r>
      <w:r>
        <w:rPr>
          <w:rFonts w:hint="eastAsia"/>
          <w:b/>
          <w:bCs/>
          <w:spacing w:val="0"/>
          <w:sz w:val="34"/>
          <w:szCs w:val="34"/>
          <w:lang w:eastAsia="zh-CN"/>
        </w:rPr>
        <w:t>（</w:t>
      </w:r>
      <w:r>
        <w:rPr>
          <w:rFonts w:hint="eastAsia"/>
          <w:b/>
          <w:bCs/>
          <w:spacing w:val="0"/>
          <w:sz w:val="34"/>
          <w:szCs w:val="34"/>
          <w:lang w:val="en-US" w:eastAsia="zh-CN"/>
        </w:rPr>
        <w:t>项</w:t>
      </w:r>
      <w:r>
        <w:rPr>
          <w:rFonts w:hint="eastAsia"/>
          <w:b/>
          <w:bCs/>
          <w:spacing w:val="0"/>
          <w:sz w:val="34"/>
          <w:szCs w:val="34"/>
          <w:lang w:eastAsia="zh-CN"/>
        </w:rPr>
        <w:t>）：</w:t>
      </w:r>
      <w:r>
        <w:rPr>
          <w:spacing w:val="0"/>
          <w:sz w:val="34"/>
          <w:szCs w:val="34"/>
        </w:rPr>
        <w:t>反映行政单位（包括实行公务员管理的事业单位）的基本支出。</w:t>
      </w:r>
    </w:p>
    <w:p w14:paraId="5ADE7234">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firstLine="683" w:firstLineChars="200"/>
        <w:jc w:val="both"/>
        <w:textAlignment w:val="baseline"/>
        <w:outlineLvl w:val="3"/>
        <w:rPr>
          <w:spacing w:val="0"/>
          <w:sz w:val="34"/>
          <w:szCs w:val="34"/>
        </w:rPr>
      </w:pPr>
      <w:r>
        <w:rPr>
          <w:b/>
          <w:bCs/>
          <w:spacing w:val="0"/>
          <w:sz w:val="34"/>
          <w:szCs w:val="34"/>
        </w:rPr>
        <w:t>8.一般公共服务支出（类）财政事务（款）一般行政管理事务（项）：</w:t>
      </w:r>
      <w:r>
        <w:rPr>
          <w:spacing w:val="0"/>
          <w:sz w:val="34"/>
          <w:szCs w:val="34"/>
        </w:rPr>
        <w:t>反映行政单位（包括实行公务员管理的事业 单位）未单独设置项级科目的其他项目支出。</w:t>
      </w:r>
    </w:p>
    <w:p w14:paraId="5F41C1C4">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firstLine="683" w:firstLineChars="200"/>
        <w:jc w:val="both"/>
        <w:textAlignment w:val="baseline"/>
        <w:outlineLvl w:val="3"/>
        <w:rPr>
          <w:spacing w:val="0"/>
          <w:sz w:val="34"/>
          <w:szCs w:val="34"/>
        </w:rPr>
      </w:pPr>
      <w:r>
        <w:rPr>
          <w:b/>
          <w:bCs/>
          <w:spacing w:val="0"/>
          <w:sz w:val="34"/>
          <w:szCs w:val="34"/>
        </w:rPr>
        <w:t>9.一般公共服务支出（类）财政事务（款）事业运行（项）：</w:t>
      </w:r>
      <w:r>
        <w:rPr>
          <w:spacing w:val="0"/>
          <w:sz w:val="34"/>
          <w:szCs w:val="34"/>
        </w:rPr>
        <w:t>反映事业单位的基本支出，不包括行政单位（包括实行公务 员管理的事业单位）后勤服务中心、医务室等附属事业单位。</w:t>
      </w:r>
    </w:p>
    <w:p w14:paraId="3659059C">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692"/>
        <w:jc w:val="both"/>
        <w:textAlignment w:val="baseline"/>
        <w:outlineLvl w:val="3"/>
        <w:rPr>
          <w:spacing w:val="0"/>
          <w:sz w:val="34"/>
          <w:szCs w:val="34"/>
        </w:rPr>
      </w:pPr>
      <w:r>
        <w:rPr>
          <w:b/>
          <w:bCs/>
          <w:spacing w:val="0"/>
          <w:sz w:val="34"/>
          <w:szCs w:val="34"/>
        </w:rPr>
        <w:t>10.一般公共服务支出（类）财政事务（款）其他财政</w:t>
      </w:r>
    </w:p>
    <w:p w14:paraId="587E9F46">
      <w:pPr>
        <w:pStyle w:val="style66"/>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90"/>
        <w:ind w:left="31" w:right="156" w:firstLine="2"/>
        <w:jc w:val="both"/>
        <w:textAlignment w:val="baseline"/>
        <w:rPr>
          <w:spacing w:val="0"/>
          <w:sz w:val="34"/>
          <w:szCs w:val="34"/>
        </w:rPr>
      </w:pPr>
      <w:r>
        <w:rPr>
          <w:b/>
          <w:bCs/>
          <w:spacing w:val="0"/>
          <w:sz w:val="34"/>
          <w:szCs w:val="34"/>
        </w:rPr>
        <w:t>事务支出（项）：</w:t>
      </w:r>
      <w:r>
        <w:rPr>
          <w:spacing w:val="0"/>
          <w:sz w:val="34"/>
          <w:szCs w:val="34"/>
        </w:rPr>
        <w:t>反映除上述项目以外其他财政事务方面的 支出。</w:t>
      </w:r>
    </w:p>
    <w:p w14:paraId="636EFD9D">
      <w:pPr>
        <w:pStyle w:val="style66"/>
        <w:spacing w:before="285" w:lineRule="exact" w:line="136"/>
        <w:jc w:val="both"/>
        <w:rPr>
          <w:sz w:val="34"/>
          <w:szCs w:val="34"/>
        </w:rPr>
        <w:sectPr>
          <w:footerReference w:type="default" r:id="rId5"/>
          <w:pgSz w:w="11906" w:h="16839" w:orient="portrait"/>
          <w:pgMar w:top="1928" w:right="1474" w:bottom="1701" w:left="1474" w:header="0" w:footer="994" w:gutter="0"/>
          <w:cols w:space="720" w:num="1"/>
        </w:sectPr>
      </w:pPr>
    </w:p>
    <w:p w14:paraId="0692520B">
      <w:pPr>
        <w:pStyle w:val="style0"/>
        <w:numPr>
          <w:ilvl w:val="0"/>
          <w:numId w:val="1"/>
        </w:numPr>
        <w:spacing w:lineRule="auto" w:line="240"/>
        <w:ind w:left="0"/>
        <w:jc w:val="center"/>
        <w:rPr>
          <w:rFonts w:ascii="宋体" w:cs="宋体" w:eastAsia="宋体" w:hAnsi="宋体"/>
          <w:b/>
          <w:bCs/>
          <w:spacing w:val="9"/>
          <w:sz w:val="35"/>
          <w:szCs w:val="35"/>
        </w:rPr>
      </w:pPr>
      <w:r>
        <w:rPr>
          <w:rFonts w:ascii="宋体" w:cs="宋体" w:eastAsia="宋体" w:hAnsi="宋体" w:hint="eastAsia"/>
          <w:b/>
          <w:bCs/>
          <w:spacing w:val="9"/>
          <w:sz w:val="35"/>
          <w:szCs w:val="35"/>
          <w:lang w:val="en-US" w:eastAsia="zh-CN"/>
        </w:rPr>
        <w:t>2025</w:t>
      </w:r>
      <w:r>
        <w:rPr>
          <w:rFonts w:ascii="宋体" w:cs="宋体" w:eastAsia="宋体" w:hAnsi="宋体"/>
          <w:b/>
          <w:bCs/>
          <w:spacing w:val="9"/>
          <w:sz w:val="35"/>
          <w:szCs w:val="35"/>
        </w:rPr>
        <w:t>年</w:t>
      </w:r>
      <w:r>
        <w:rPr>
          <w:rFonts w:ascii="宋体" w:cs="宋体" w:eastAsia="宋体" w:hAnsi="宋体" w:hint="eastAsia"/>
          <w:b/>
          <w:bCs/>
          <w:spacing w:val="9"/>
          <w:sz w:val="35"/>
          <w:szCs w:val="35"/>
          <w:lang w:eastAsia="zh-CN"/>
        </w:rPr>
        <w:t>阜新</w:t>
      </w:r>
      <w:r>
        <w:rPr>
          <w:rFonts w:ascii="宋体" w:cs="宋体" w:eastAsia="宋体" w:hAnsi="宋体" w:hint="eastAsia"/>
          <w:b/>
          <w:bCs/>
          <w:spacing w:val="9"/>
          <w:sz w:val="35"/>
          <w:szCs w:val="35"/>
          <w:lang w:val="en-US" w:eastAsia="zh-CN"/>
        </w:rPr>
        <w:t>市委政法委</w:t>
      </w:r>
      <w:r>
        <w:rPr>
          <w:rFonts w:ascii="宋体" w:cs="宋体" w:eastAsia="宋体" w:hAnsi="宋体"/>
          <w:b/>
          <w:bCs/>
          <w:spacing w:val="9"/>
          <w:sz w:val="35"/>
          <w:szCs w:val="35"/>
        </w:rPr>
        <w:t>部门预算</w:t>
      </w:r>
      <w:r>
        <w:rPr>
          <w:rFonts w:ascii="宋体" w:cs="宋体" w:eastAsia="宋体" w:hAnsi="宋体"/>
          <w:b/>
          <w:bCs/>
          <w:spacing w:val="9"/>
          <w:sz w:val="35"/>
          <w:szCs w:val="35"/>
          <w:lang w:val="en-US"/>
        </w:rPr>
        <w:t>批复</w:t>
      </w:r>
    </w:p>
    <w:p w14:paraId="1C55721C">
      <w:pPr>
        <w:pStyle w:val="style0"/>
        <w:numPr>
          <w:ilvl w:val="0"/>
          <w:numId w:val="0"/>
        </w:numPr>
        <w:kinsoku w:val="false"/>
        <w:autoSpaceDE w:val="false"/>
        <w:autoSpaceDN w:val="false"/>
        <w:adjustRightInd w:val="false"/>
        <w:snapToGrid w:val="false"/>
        <w:spacing w:lineRule="auto" w:line="240"/>
        <w:jc w:val="both"/>
        <w:textAlignment w:val="baseline"/>
        <w:rPr>
          <w:rFonts w:ascii="宋体" w:cs="宋体" w:eastAsia="宋体" w:hAnsi="宋体"/>
          <w:b/>
          <w:bCs/>
          <w:spacing w:val="9"/>
          <w:sz w:val="35"/>
          <w:szCs w:val="35"/>
        </w:rPr>
      </w:pPr>
    </w:p>
    <w:p w14:paraId="697B5946">
      <w:pPr>
        <w:pStyle w:val="style0"/>
        <w:numPr>
          <w:ilvl w:val="0"/>
          <w:numId w:val="0"/>
        </w:numPr>
        <w:kinsoku w:val="false"/>
        <w:autoSpaceDE w:val="false"/>
        <w:autoSpaceDN w:val="false"/>
        <w:adjustRightInd w:val="false"/>
        <w:snapToGrid w:val="false"/>
        <w:spacing w:lineRule="auto" w:line="240"/>
        <w:jc w:val="both"/>
        <w:textAlignment w:val="baseline"/>
        <w:rPr>
          <w:rFonts w:ascii="宋体" w:cs="宋体" w:eastAsia="宋体" w:hAnsi="宋体"/>
          <w:b/>
          <w:bCs/>
          <w:spacing w:val="9"/>
          <w:sz w:val="35"/>
          <w:szCs w:val="35"/>
        </w:rPr>
      </w:pPr>
    </w:p>
    <w:p w14:paraId="51A18F8C">
      <w:pPr>
        <w:pStyle w:val="style0"/>
        <w:jc w:val="both"/>
        <w:rPr>
          <w:rFonts w:ascii="Arial"/>
          <w:sz w:val="21"/>
        </w:rPr>
      </w:pPr>
    </w:p>
    <w:sectPr>
      <w:footerReference w:type="default" r:id="rId6"/>
      <w:pgSz w:w="11905" w:h="16837" w:orient="portrait"/>
      <w:pgMar w:top="1263" w:right="400" w:bottom="1240" w:left="92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altName w:val="仿宋_GB2312"/>
    <w:panose1 w:val="02010609030001010101"/>
    <w:charset w:val="86"/>
    <w:family w:val="auto"/>
    <w:pitch w:val="default"/>
    <w:sig w:usb0="00000001" w:usb1="080E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4D2E5280">
    <w:pPr>
      <w:pStyle w:val="style0"/>
      <w:spacing w:lineRule="auto" w:line="14"/>
      <w:rPr>
        <w:rFonts w:ascii="Arial"/>
        <w:sz w:val="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4388032D">
    <w:pPr>
      <w:pStyle w:val="style0"/>
      <w:spacing w:lineRule="auto" w:line="176"/>
      <w:ind w:left="4130"/>
      <w:rPr>
        <w:rFonts w:ascii="Times New Roman" w:cs="Times New Roman" w:eastAsia="Times New Roman" w:hAnsi="Times New Roman"/>
        <w:sz w:val="18"/>
        <w:szCs w:val="18"/>
      </w:rPr>
    </w:pPr>
    <w:r>
      <w:rPr>
        <w:rFonts w:ascii="Times New Roman" w:cs="Times New Roman" w:eastAsia="Times New Roman" w:hAnsi="Times New Roman"/>
        <w:sz w:val="18"/>
        <w:szCs w:val="18"/>
      </w:rPr>
      <w:t>3</w: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7BF24250">
    <w:pPr>
      <w:pStyle w:val="style0"/>
      <w:spacing w:lineRule="auto" w:line="176"/>
      <w:ind w:left="4138"/>
      <w:rPr>
        <w:rFonts w:ascii="Times New Roman" w:cs="Times New Roman" w:eastAsia="Times New Roman" w:hAnsi="Times New Roman"/>
        <w:sz w:val="18"/>
        <w:szCs w:val="18"/>
      </w:rPr>
    </w:pPr>
    <w:r>
      <w:rPr>
        <w:rFonts w:ascii="Times New Roman" w:cs="Times New Roman" w:eastAsia="Times New Roman" w:hAnsi="Times New Roman"/>
        <w:sz w:val="18"/>
        <w:szCs w:val="18"/>
      </w:rPr>
      <w:t>9</w: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13911668">
    <w:pPr>
      <w:pStyle w:val="style0"/>
      <w:spacing w:lineRule="auto" w:line="176"/>
      <w:ind w:left="4100"/>
      <w:rPr>
        <w:rFonts w:ascii="Times New Roman" w:cs="Times New Roman" w:eastAsia="Times New Roman" w:hAnsi="Times New Roman"/>
        <w:sz w:val="18"/>
        <w:szCs w:val="18"/>
      </w:rPr>
    </w:pPr>
    <w:r>
      <w:rPr>
        <w:rFonts w:ascii="Times New Roman" w:cs="Times New Roman" w:eastAsia="Times New Roman" w:hAnsi="Times New Roman"/>
        <w:spacing w:val="-11"/>
        <w:sz w:val="18"/>
        <w:szCs w:val="18"/>
      </w:rPr>
      <w:t>11</w: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043CFD6C">
    <w:pPr>
      <w:pStyle w:val="style0"/>
      <w:spacing w:lineRule="auto" w:line="14"/>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FFBB7D11"/>
    <w:lvl w:ilvl="0">
      <w:start w:val="4"/>
      <w:numFmt w:val="chineseCounting"/>
      <w:suff w:val="space"/>
      <w:lvlText w:val="第%1部分"/>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isplayHorizontalDrawingGridEvery w:val="1"/>
  <w:displayVerticalDrawingGridEvery w:val="1"/>
  <w:noPunctuationKerning/>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kinsoku w:val="false"/>
      <w:autoSpaceDE w:val="false"/>
      <w:autoSpaceDN w:val="false"/>
      <w:adjustRightInd w:val="false"/>
      <w:snapToGrid w:val="false"/>
      <w:spacing w:lineRule="auto" w:line="240"/>
      <w:jc w:val="left"/>
      <w:textAlignment w:val="baseline"/>
    </w:pPr>
    <w:rPr>
      <w:rFonts w:ascii="Arial" w:cs="Arial" w:eastAsia="Arial" w:hAnsi="Arial"/>
      <w:snapToGrid w:val="false"/>
      <w:color w:val="000000"/>
      <w:kern w:val="0"/>
      <w:sz w:val="21"/>
      <w:szCs w:val="21"/>
      <w:lang w:val="en-US" w:bidi="ar-SA" w:eastAsia="en-US"/>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6">
    <w:name w:val="Body Text"/>
    <w:basedOn w:val="style0"/>
    <w:next w:val="style66"/>
    <w:qFormat/>
    <w:uiPriority w:val="0"/>
    <w:pPr/>
    <w:rPr>
      <w:rFonts w:ascii="FangSong_GB2312" w:cs="FangSong_GB2312" w:eastAsia="FangSong_GB2312" w:hAnsi="FangSong_GB2312"/>
      <w:sz w:val="31"/>
      <w:szCs w:val="31"/>
      <w:lang w:val="en-US" w:bidi="ar-SA" w:eastAsia="en-US"/>
    </w:r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table" w:customStyle="1" w:styleId="style4097">
    <w:name w:val="Table Normal"/>
    <w:next w:val="style4097"/>
    <w:qFormat/>
    <w:uiPriority w:val="0"/>
    <w:pPr/>
    <w:rPr/>
    <w:tblPr>
      <w:tblCellMar>
        <w:top w:w="0" w:type="dxa"/>
        <w:left w:w="0" w:type="dxa"/>
        <w:bottom w:w="0" w:type="dxa"/>
        <w:right w:w="0" w:type="dxa"/>
      </w:tblCellMar>
    </w:tblPr>
    <w:tcPr>
      <w:tcBorders/>
    </w:tcPr>
  </w:style>
  <w:style w:type="paragraph" w:customStyle="1" w:styleId="style4098">
    <w:name w:val="Table Text"/>
    <w:basedOn w:val="style0"/>
    <w:next w:val="style4098"/>
    <w:qFormat/>
    <w:uiPriority w:val="0"/>
    <w:pPr/>
    <w:rPr>
      <w:rFonts w:ascii="Arial" w:cs="Arial" w:eastAsia="Arial" w:hAnsi="Arial"/>
      <w:sz w:val="21"/>
      <w:szCs w:val="21"/>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24</TotalTime>
  <Words>2844</Words>
  <Pages>12</Pages>
  <Characters>2986</Characters>
  <Application>WPS Office</Application>
  <DocSecurity>0</DocSecurity>
  <Paragraphs>154</Paragraphs>
  <ScaleCrop>false</ScaleCrop>
  <LinksUpToDate>false</LinksUpToDate>
  <CharactersWithSpaces>3060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2024-07-11T08:52:00Z</dcterms:created>
  <dc:creator>Administrator</dc:creator>
  <lastModifiedBy>HBN-AL80</lastModifiedBy>
  <lastPrinted>2025-02-14T09:00:00Z</lastPrinted>
  <dcterms:modified xsi:type="dcterms:W3CDTF">2025-02-17T09:13:51Z</dcterms:modified>
  <dc:title>C:\Users\Administrator\AppData\Local\Temp\NTKOFTmpFiles\tempdoc44.tmp</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2024-11-28T16:04:28Z</vt:filetime>
  </property>
  <property fmtid="{D5CDD505-2E9C-101B-9397-08002B2CF9AE}" pid="4" name="KSOProductBuildVer">
    <vt:lpwstr>2052-12.1.0.19770</vt:lpwstr>
  </property>
  <property fmtid="{D5CDD505-2E9C-101B-9397-08002B2CF9AE}" pid="5" name="ICV">
    <vt:lpwstr>b4942c28c6bc4c25858a9cb7a1c346a4_23</vt:lpwstr>
  </property>
  <property fmtid="{D5CDD505-2E9C-101B-9397-08002B2CF9AE}" pid="6" name="KSOTemplateDocerSaveRecord">
    <vt:lpwstr>eyJoZGlkIjoiNDJiY2Q1MTQ4MTg2YmNhYzgyM2M3MmI5ODE5NzYwYmUiLCJ1c2VySWQiOiI1MDU4Mjk2NDgifQ==</vt:lpwstr>
  </property>
</Properties>
</file>